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D54D0A" w14:textId="3C670A5A" w:rsidR="00F76F46" w:rsidRPr="00F76F46" w:rsidRDefault="00CE4A57" w:rsidP="00CE4A57">
      <w:pPr>
        <w:spacing w:before="83" w:line="501" w:lineRule="auto"/>
        <w:jc w:val="center"/>
        <w:rPr>
          <w:rFonts w:cs="Arial"/>
          <w:sz w:val="24"/>
        </w:rPr>
      </w:pPr>
      <w:r w:rsidRPr="00F76F46">
        <w:rPr>
          <w:rFonts w:cs="Arial"/>
          <w:sz w:val="18"/>
          <w:szCs w:val="18"/>
        </w:rPr>
        <w:t>Periodicidad:</w:t>
      </w:r>
      <w:r w:rsidRPr="00F76F46">
        <w:rPr>
          <w:rFonts w:cs="Arial"/>
          <w:spacing w:val="-5"/>
          <w:sz w:val="18"/>
          <w:szCs w:val="18"/>
        </w:rPr>
        <w:t xml:space="preserve"> </w:t>
      </w:r>
      <w:r w:rsidRPr="00F76F46">
        <w:rPr>
          <w:rFonts w:cs="Arial"/>
          <w:sz w:val="18"/>
          <w:szCs w:val="18"/>
        </w:rPr>
        <w:t>Trimestral,</w:t>
      </w:r>
      <w:r w:rsidRPr="00F76F46">
        <w:rPr>
          <w:rFonts w:cs="Arial"/>
          <w:spacing w:val="-5"/>
          <w:sz w:val="18"/>
          <w:szCs w:val="18"/>
        </w:rPr>
        <w:t xml:space="preserve"> </w:t>
      </w:r>
      <w:r w:rsidRPr="00F76F46">
        <w:rPr>
          <w:rFonts w:cs="Arial"/>
          <w:sz w:val="18"/>
          <w:szCs w:val="18"/>
        </w:rPr>
        <w:t>Volumen:</w:t>
      </w:r>
      <w:r w:rsidRPr="00F76F46">
        <w:rPr>
          <w:rFonts w:cs="Arial"/>
          <w:spacing w:val="-1"/>
          <w:sz w:val="18"/>
          <w:szCs w:val="18"/>
        </w:rPr>
        <w:t xml:space="preserve"> </w:t>
      </w:r>
      <w:r>
        <w:rPr>
          <w:rFonts w:cs="Arial"/>
          <w:sz w:val="18"/>
          <w:szCs w:val="18"/>
        </w:rPr>
        <w:t>4</w:t>
      </w:r>
      <w:r w:rsidRPr="00F76F46">
        <w:rPr>
          <w:rFonts w:cs="Arial"/>
          <w:sz w:val="18"/>
          <w:szCs w:val="18"/>
        </w:rPr>
        <w:t>,</w:t>
      </w:r>
      <w:r w:rsidRPr="00F76F46">
        <w:rPr>
          <w:rFonts w:cs="Arial"/>
          <w:spacing w:val="-5"/>
          <w:sz w:val="18"/>
          <w:szCs w:val="18"/>
        </w:rPr>
        <w:t xml:space="preserve"> </w:t>
      </w:r>
      <w:r w:rsidRPr="00F76F46">
        <w:rPr>
          <w:rFonts w:cs="Arial"/>
          <w:sz w:val="18"/>
          <w:szCs w:val="18"/>
        </w:rPr>
        <w:t>Número:</w:t>
      </w:r>
      <w:r w:rsidRPr="00F76F46">
        <w:rPr>
          <w:rFonts w:cs="Arial"/>
          <w:spacing w:val="-4"/>
          <w:sz w:val="18"/>
          <w:szCs w:val="18"/>
        </w:rPr>
        <w:t xml:space="preserve"> </w:t>
      </w:r>
      <w:r>
        <w:rPr>
          <w:rFonts w:cs="Arial"/>
          <w:sz w:val="18"/>
          <w:szCs w:val="18"/>
        </w:rPr>
        <w:t>1</w:t>
      </w:r>
      <w:r w:rsidRPr="00F76F46">
        <w:rPr>
          <w:rFonts w:cs="Arial"/>
          <w:sz w:val="18"/>
          <w:szCs w:val="18"/>
        </w:rPr>
        <w:t>,</w:t>
      </w:r>
      <w:r w:rsidRPr="00F76F46">
        <w:rPr>
          <w:rFonts w:cs="Arial"/>
          <w:spacing w:val="-5"/>
          <w:sz w:val="18"/>
          <w:szCs w:val="18"/>
        </w:rPr>
        <w:t xml:space="preserve"> </w:t>
      </w:r>
      <w:r w:rsidRPr="00F76F46">
        <w:rPr>
          <w:rFonts w:cs="Arial"/>
          <w:sz w:val="18"/>
          <w:szCs w:val="18"/>
        </w:rPr>
        <w:t>Año:</w:t>
      </w:r>
      <w:r w:rsidRPr="00F76F46">
        <w:rPr>
          <w:rFonts w:cs="Arial"/>
          <w:spacing w:val="-3"/>
          <w:sz w:val="18"/>
          <w:szCs w:val="18"/>
        </w:rPr>
        <w:t xml:space="preserve"> </w:t>
      </w:r>
      <w:r w:rsidRPr="00F76F46">
        <w:rPr>
          <w:rFonts w:cs="Arial"/>
          <w:sz w:val="18"/>
          <w:szCs w:val="18"/>
        </w:rPr>
        <w:t>202</w:t>
      </w:r>
      <w:r>
        <w:rPr>
          <w:rFonts w:cs="Arial"/>
          <w:sz w:val="18"/>
          <w:szCs w:val="18"/>
        </w:rPr>
        <w:t>6</w:t>
      </w:r>
      <w:r w:rsidRPr="00F76F46">
        <w:rPr>
          <w:rFonts w:cs="Arial"/>
          <w:spacing w:val="-5"/>
          <w:sz w:val="18"/>
          <w:szCs w:val="18"/>
        </w:rPr>
        <w:t xml:space="preserve"> </w:t>
      </w:r>
      <w:r w:rsidRPr="00F76F46">
        <w:rPr>
          <w:rFonts w:cs="Arial"/>
          <w:sz w:val="18"/>
          <w:szCs w:val="18"/>
        </w:rPr>
        <w:t>páginas</w:t>
      </w:r>
      <w:r w:rsidR="00633813">
        <w:rPr>
          <w:rFonts w:cs="Arial"/>
          <w:spacing w:val="-7"/>
          <w:sz w:val="18"/>
          <w:szCs w:val="18"/>
        </w:rPr>
        <w:t xml:space="preserve"> </w:t>
      </w:r>
      <w:r w:rsidR="009B5A12">
        <w:rPr>
          <w:rFonts w:cs="Arial"/>
          <w:sz w:val="18"/>
          <w:szCs w:val="18"/>
        </w:rPr>
        <w:t>59</w:t>
      </w:r>
      <w:r w:rsidR="005844FE">
        <w:rPr>
          <w:rFonts w:cs="Arial"/>
          <w:sz w:val="18"/>
          <w:szCs w:val="18"/>
        </w:rPr>
        <w:t>2</w:t>
      </w:r>
      <w:r w:rsidR="00E43B53">
        <w:rPr>
          <w:rFonts w:cs="Arial"/>
          <w:sz w:val="18"/>
          <w:szCs w:val="18"/>
        </w:rPr>
        <w:t>-60</w:t>
      </w:r>
      <w:r w:rsidR="005844FE">
        <w:rPr>
          <w:rFonts w:cs="Arial"/>
          <w:sz w:val="18"/>
          <w:szCs w:val="18"/>
        </w:rPr>
        <w:t>5</w:t>
      </w:r>
    </w:p>
    <w:p w14:paraId="2BC12465" w14:textId="4E254417" w:rsidR="00AB72C8" w:rsidRPr="00A66759" w:rsidRDefault="00F76F46" w:rsidP="00F76F46">
      <w:pPr>
        <w:spacing w:line="502" w:lineRule="auto"/>
        <w:rPr>
          <w:rFonts w:cs="Arial"/>
          <w:sz w:val="18"/>
          <w:szCs w:val="18"/>
        </w:rPr>
      </w:pPr>
      <w:r w:rsidRPr="00A66759">
        <w:rPr>
          <w:rFonts w:cs="Arial"/>
          <w:sz w:val="18"/>
          <w:szCs w:val="18"/>
        </w:rPr>
        <w:t>DOI</w:t>
      </w:r>
      <w:r w:rsidR="00D828F5" w:rsidRPr="00A66759">
        <w:rPr>
          <w:rFonts w:cs="Arial"/>
          <w:sz w:val="18"/>
          <w:szCs w:val="18"/>
        </w:rPr>
        <w:t xml:space="preserve">: </w:t>
      </w:r>
      <w:hyperlink r:id="rId8" w:history="1">
        <w:r w:rsidR="008020C5" w:rsidRPr="008020C5">
          <w:rPr>
            <w:rStyle w:val="Hipervnculo"/>
            <w:color w:val="auto"/>
            <w:u w:val="none"/>
          </w:rPr>
          <w:t>https://doi.org/10.70577/8f02v937</w:t>
        </w:r>
      </w:hyperlink>
    </w:p>
    <w:p w14:paraId="1FE765D8" w14:textId="55A89F96" w:rsidR="00F1553D" w:rsidRPr="009C150A" w:rsidRDefault="00E43B53" w:rsidP="00F1553D">
      <w:pPr>
        <w:pStyle w:val="Sinespaciado"/>
        <w:spacing w:after="100" w:line="360" w:lineRule="auto"/>
        <w:jc w:val="center"/>
        <w:rPr>
          <w:rFonts w:ascii="Arial" w:hAnsi="Arial" w:cs="Arial"/>
          <w:b/>
          <w:sz w:val="28"/>
          <w:lang w:val="es-MX"/>
        </w:rPr>
      </w:pPr>
      <w:bookmarkStart w:id="0" w:name="_Hlk224035580"/>
      <w:r w:rsidRPr="00E43B53">
        <w:rPr>
          <w:rFonts w:ascii="Arial" w:hAnsi="Arial" w:cs="Arial"/>
          <w:b/>
          <w:sz w:val="28"/>
          <w:lang w:val="es-MX"/>
        </w:rPr>
        <w:t>Control de gestión estratégico mediante analítica predictiva</w:t>
      </w:r>
      <w:bookmarkEnd w:id="0"/>
    </w:p>
    <w:p w14:paraId="4A00376B" w14:textId="4DF20386" w:rsidR="00E43B53" w:rsidRPr="00E43B53" w:rsidRDefault="00616C3B" w:rsidP="00E43B53">
      <w:pPr>
        <w:pStyle w:val="Sinespaciado"/>
        <w:jc w:val="right"/>
        <w:rPr>
          <w:rFonts w:ascii="Arial" w:hAnsi="Arial" w:cs="Arial"/>
          <w:b/>
          <w:sz w:val="16"/>
          <w:lang w:val="es-MX"/>
        </w:rPr>
      </w:pPr>
      <w:bookmarkStart w:id="1" w:name="_Hlk224035603"/>
      <w:r>
        <w:rPr>
          <w:rFonts w:ascii="Arial" w:hAnsi="Arial" w:cs="Arial"/>
          <w:b/>
          <w:sz w:val="16"/>
          <w:lang w:val="es-MX"/>
        </w:rPr>
        <w:t xml:space="preserve">Dra. </w:t>
      </w:r>
      <w:r w:rsidR="00E43B53" w:rsidRPr="00E43B53">
        <w:rPr>
          <w:rFonts w:ascii="Arial" w:hAnsi="Arial" w:cs="Arial"/>
          <w:b/>
          <w:sz w:val="16"/>
          <w:lang w:val="es-MX"/>
        </w:rPr>
        <w:t xml:space="preserve">Ana </w:t>
      </w:r>
      <w:proofErr w:type="spellStart"/>
      <w:r w:rsidR="00E43B53" w:rsidRPr="00E43B53">
        <w:rPr>
          <w:rFonts w:ascii="Arial" w:hAnsi="Arial" w:cs="Arial"/>
          <w:b/>
          <w:sz w:val="16"/>
          <w:lang w:val="es-MX"/>
        </w:rPr>
        <w:t>Maria</w:t>
      </w:r>
      <w:proofErr w:type="spellEnd"/>
      <w:r w:rsidR="00E43B53" w:rsidRPr="00E43B53">
        <w:rPr>
          <w:rFonts w:ascii="Arial" w:hAnsi="Arial" w:cs="Arial"/>
          <w:b/>
          <w:sz w:val="16"/>
          <w:lang w:val="es-MX"/>
        </w:rPr>
        <w:t xml:space="preserve"> Moran Macias</w:t>
      </w:r>
      <w:bookmarkEnd w:id="1"/>
      <w:r>
        <w:rPr>
          <w:rFonts w:ascii="Arial" w:hAnsi="Arial" w:cs="Arial"/>
          <w:b/>
          <w:sz w:val="16"/>
          <w:lang w:val="es-MX"/>
        </w:rPr>
        <w:t>, Mg.</w:t>
      </w:r>
      <w:r w:rsidR="00E43B53" w:rsidRPr="00E43B53">
        <w:rPr>
          <w:rFonts w:ascii="Arial" w:hAnsi="Arial" w:cs="Arial"/>
          <w:b/>
          <w:sz w:val="16"/>
          <w:vertAlign w:val="superscript"/>
          <w:lang w:val="es-MX"/>
        </w:rPr>
        <w:t>1</w:t>
      </w:r>
    </w:p>
    <w:p w14:paraId="055AE774" w14:textId="7D6ADB43" w:rsidR="00E43B53" w:rsidRPr="00E43B53" w:rsidRDefault="00E43B53" w:rsidP="00E43B53">
      <w:pPr>
        <w:pStyle w:val="Sinespaciado"/>
        <w:jc w:val="right"/>
        <w:rPr>
          <w:rFonts w:ascii="Arial" w:hAnsi="Arial" w:cs="Arial"/>
          <w:bCs/>
          <w:sz w:val="16"/>
          <w:lang w:val="es-MX"/>
        </w:rPr>
      </w:pPr>
      <w:r w:rsidRPr="00E43B53">
        <w:rPr>
          <w:rFonts w:ascii="Arial" w:hAnsi="Arial" w:cs="Arial"/>
          <w:bCs/>
          <w:sz w:val="16"/>
          <w:lang w:val="es-MX"/>
        </w:rPr>
        <w:t>Universidad Estatal del Sur de Manabí</w:t>
      </w:r>
      <w:r w:rsidR="00616C3B">
        <w:rPr>
          <w:rFonts w:ascii="Arial" w:hAnsi="Arial" w:cs="Arial"/>
          <w:bCs/>
          <w:sz w:val="16"/>
          <w:lang w:val="es-MX"/>
        </w:rPr>
        <w:t xml:space="preserve">, </w:t>
      </w:r>
      <w:r w:rsidR="00616C3B" w:rsidRPr="00616C3B">
        <w:rPr>
          <w:rFonts w:ascii="Arial" w:hAnsi="Arial" w:cs="Arial"/>
          <w:bCs/>
          <w:sz w:val="16"/>
          <w:lang w:val="es-MX"/>
        </w:rPr>
        <w:t>Dirección de Posgrado</w:t>
      </w:r>
      <w:r w:rsidRPr="00E43B53">
        <w:rPr>
          <w:rFonts w:ascii="Arial" w:hAnsi="Arial" w:cs="Arial"/>
          <w:bCs/>
          <w:sz w:val="16"/>
          <w:lang w:val="es-MX"/>
        </w:rPr>
        <w:t>. Jipijapa, Ecuador</w:t>
      </w:r>
    </w:p>
    <w:p w14:paraId="0B6E0FFB" w14:textId="77777777" w:rsidR="00E43B53" w:rsidRPr="00E43B53" w:rsidRDefault="00E43B53" w:rsidP="00E43B53">
      <w:pPr>
        <w:pStyle w:val="Sinespaciado"/>
        <w:jc w:val="right"/>
        <w:rPr>
          <w:rFonts w:ascii="Arial" w:hAnsi="Arial" w:cs="Arial"/>
          <w:bCs/>
          <w:sz w:val="16"/>
          <w:lang w:val="es-MX"/>
        </w:rPr>
      </w:pPr>
      <w:r w:rsidRPr="00E43B53">
        <w:rPr>
          <w:rFonts w:ascii="Arial" w:hAnsi="Arial" w:cs="Arial"/>
          <w:bCs/>
          <w:sz w:val="16"/>
          <w:lang w:val="es-MX"/>
        </w:rPr>
        <w:t>ana.moran@unesum.edu.ec</w:t>
      </w:r>
    </w:p>
    <w:p w14:paraId="1867C490" w14:textId="236E2960" w:rsidR="00E43B53" w:rsidRPr="00E43B53" w:rsidRDefault="00E43B53" w:rsidP="00E43B53">
      <w:pPr>
        <w:pStyle w:val="Sinespaciado"/>
        <w:spacing w:after="100"/>
        <w:jc w:val="right"/>
        <w:rPr>
          <w:rFonts w:ascii="Arial" w:hAnsi="Arial" w:cs="Arial"/>
          <w:bCs/>
          <w:sz w:val="16"/>
          <w:lang w:val="es-MX"/>
        </w:rPr>
      </w:pPr>
      <w:hyperlink r:id="rId9" w:history="1">
        <w:r w:rsidRPr="00E43B53">
          <w:rPr>
            <w:rStyle w:val="Hipervnculo"/>
            <w:rFonts w:ascii="Arial" w:hAnsi="Arial" w:cs="Arial"/>
            <w:bCs/>
            <w:color w:val="auto"/>
            <w:sz w:val="16"/>
            <w:u w:val="none"/>
            <w:lang w:val="es-MX"/>
          </w:rPr>
          <w:t>https://orcid.org/0009-0006-1734-5306</w:t>
        </w:r>
      </w:hyperlink>
    </w:p>
    <w:p w14:paraId="5FEC7A83" w14:textId="7CD7F5F3" w:rsidR="00E43B53" w:rsidRPr="00E43B53" w:rsidRDefault="00E43B53" w:rsidP="00E43B53">
      <w:pPr>
        <w:pStyle w:val="Sinespaciado"/>
        <w:jc w:val="right"/>
        <w:rPr>
          <w:rFonts w:ascii="Arial" w:hAnsi="Arial" w:cs="Arial"/>
          <w:b/>
          <w:sz w:val="16"/>
          <w:lang w:val="es-MX"/>
        </w:rPr>
      </w:pPr>
      <w:bookmarkStart w:id="2" w:name="_Hlk224035619"/>
      <w:r w:rsidRPr="00E43B53">
        <w:rPr>
          <w:rFonts w:ascii="Arial" w:hAnsi="Arial" w:cs="Arial"/>
          <w:b/>
          <w:sz w:val="16"/>
          <w:lang w:val="es-MX"/>
        </w:rPr>
        <w:t>Mike Eduardo Rodríguez Zambrano</w:t>
      </w:r>
      <w:bookmarkEnd w:id="2"/>
      <w:r w:rsidRPr="00E43B53">
        <w:rPr>
          <w:rFonts w:ascii="Arial" w:hAnsi="Arial" w:cs="Arial"/>
          <w:b/>
          <w:sz w:val="16"/>
          <w:vertAlign w:val="superscript"/>
          <w:lang w:val="es-MX"/>
        </w:rPr>
        <w:t>2</w:t>
      </w:r>
    </w:p>
    <w:p w14:paraId="0E24E842" w14:textId="77777777" w:rsidR="00E43B53" w:rsidRPr="00E43B53" w:rsidRDefault="00E43B53" w:rsidP="00E43B53">
      <w:pPr>
        <w:pStyle w:val="Sinespaciado"/>
        <w:jc w:val="right"/>
        <w:rPr>
          <w:rFonts w:ascii="Arial" w:hAnsi="Arial" w:cs="Arial"/>
          <w:bCs/>
          <w:sz w:val="16"/>
          <w:lang w:val="es-MX"/>
        </w:rPr>
      </w:pPr>
      <w:r w:rsidRPr="00E43B53">
        <w:rPr>
          <w:rFonts w:ascii="Arial" w:hAnsi="Arial" w:cs="Arial"/>
          <w:bCs/>
          <w:sz w:val="16"/>
          <w:lang w:val="es-MX"/>
        </w:rPr>
        <w:t>Estudiante de la Universidad Estatal del Sur de Manabí. Jipijapa, Ecuador</w:t>
      </w:r>
    </w:p>
    <w:p w14:paraId="38EED856" w14:textId="77777777" w:rsidR="00E43B53" w:rsidRPr="00E43B53" w:rsidRDefault="00E43B53" w:rsidP="00E43B53">
      <w:pPr>
        <w:pStyle w:val="Sinespaciado"/>
        <w:jc w:val="right"/>
        <w:rPr>
          <w:rFonts w:ascii="Arial" w:hAnsi="Arial" w:cs="Arial"/>
          <w:bCs/>
          <w:sz w:val="16"/>
          <w:lang w:val="es-MX"/>
        </w:rPr>
      </w:pPr>
      <w:r w:rsidRPr="00E43B53">
        <w:rPr>
          <w:rFonts w:ascii="Arial" w:hAnsi="Arial" w:cs="Arial"/>
          <w:bCs/>
          <w:sz w:val="16"/>
          <w:lang w:val="es-MX"/>
        </w:rPr>
        <w:t>rodriguez-mike3448@unesum.edu.ec</w:t>
      </w:r>
    </w:p>
    <w:p w14:paraId="3DEE2319" w14:textId="1319D8EE" w:rsidR="00E43B53" w:rsidRPr="00E43B53" w:rsidRDefault="00E43B53" w:rsidP="00E43B53">
      <w:pPr>
        <w:pStyle w:val="Sinespaciado"/>
        <w:spacing w:after="100"/>
        <w:jc w:val="right"/>
        <w:rPr>
          <w:rFonts w:ascii="Arial" w:hAnsi="Arial" w:cs="Arial"/>
          <w:b/>
          <w:sz w:val="16"/>
          <w:lang w:val="es-MX"/>
        </w:rPr>
      </w:pPr>
      <w:hyperlink r:id="rId10" w:history="1">
        <w:r w:rsidRPr="00E43B53">
          <w:rPr>
            <w:rStyle w:val="Hipervnculo"/>
            <w:rFonts w:ascii="Arial" w:hAnsi="Arial" w:cs="Arial"/>
            <w:bCs/>
            <w:color w:val="auto"/>
            <w:sz w:val="16"/>
            <w:u w:val="none"/>
            <w:lang w:val="es-MX"/>
          </w:rPr>
          <w:t>https://orcid.org/0009-0008-7219-4576</w:t>
        </w:r>
      </w:hyperlink>
      <w:r w:rsidRPr="00E43B53">
        <w:rPr>
          <w:rFonts w:ascii="Arial" w:hAnsi="Arial" w:cs="Arial"/>
          <w:b/>
          <w:sz w:val="16"/>
          <w:lang w:val="es-MX"/>
        </w:rPr>
        <w:t xml:space="preserve"> </w:t>
      </w:r>
    </w:p>
    <w:p w14:paraId="73C55756" w14:textId="77777777" w:rsidR="00E43B53" w:rsidRPr="00E43B53" w:rsidRDefault="00E43B53" w:rsidP="00E43B53">
      <w:pPr>
        <w:pStyle w:val="Sinespaciado"/>
        <w:jc w:val="right"/>
        <w:rPr>
          <w:rFonts w:ascii="Arial" w:hAnsi="Arial" w:cs="Arial"/>
          <w:b/>
          <w:sz w:val="16"/>
          <w:lang w:val="es-MX"/>
        </w:rPr>
      </w:pPr>
      <w:bookmarkStart w:id="3" w:name="_Hlk224035646"/>
      <w:r w:rsidRPr="00E43B53">
        <w:rPr>
          <w:rFonts w:ascii="Arial" w:hAnsi="Arial" w:cs="Arial"/>
          <w:b/>
          <w:sz w:val="16"/>
          <w:lang w:val="es-MX"/>
        </w:rPr>
        <w:t>Marcelo Emanuel Salazar Torres</w:t>
      </w:r>
      <w:bookmarkEnd w:id="3"/>
      <w:r w:rsidRPr="00E43B53">
        <w:rPr>
          <w:rFonts w:ascii="Arial" w:hAnsi="Arial" w:cs="Arial"/>
          <w:b/>
          <w:sz w:val="16"/>
          <w:vertAlign w:val="superscript"/>
          <w:lang w:val="es-MX"/>
        </w:rPr>
        <w:t>3</w:t>
      </w:r>
    </w:p>
    <w:p w14:paraId="74B4759A" w14:textId="77777777" w:rsidR="00E43B53" w:rsidRPr="00E43B53" w:rsidRDefault="00E43B53" w:rsidP="00E43B53">
      <w:pPr>
        <w:pStyle w:val="Sinespaciado"/>
        <w:jc w:val="right"/>
        <w:rPr>
          <w:rFonts w:ascii="Arial" w:hAnsi="Arial" w:cs="Arial"/>
          <w:bCs/>
          <w:sz w:val="16"/>
          <w:lang w:val="es-MX"/>
        </w:rPr>
      </w:pPr>
      <w:r w:rsidRPr="00E43B53">
        <w:rPr>
          <w:rFonts w:ascii="Arial" w:hAnsi="Arial" w:cs="Arial"/>
          <w:bCs/>
          <w:sz w:val="16"/>
          <w:lang w:val="es-MX"/>
        </w:rPr>
        <w:t>Estudiante de la Universidad Estatal del Sur de Manabí. Jipijapa, Ecuador</w:t>
      </w:r>
    </w:p>
    <w:p w14:paraId="4A107C6C" w14:textId="77777777" w:rsidR="00E43B53" w:rsidRPr="00E43B53" w:rsidRDefault="00E43B53" w:rsidP="00E43B53">
      <w:pPr>
        <w:pStyle w:val="Sinespaciado"/>
        <w:jc w:val="right"/>
        <w:rPr>
          <w:rFonts w:ascii="Arial" w:hAnsi="Arial" w:cs="Arial"/>
          <w:bCs/>
          <w:sz w:val="16"/>
          <w:lang w:val="es-MX"/>
        </w:rPr>
      </w:pPr>
      <w:r w:rsidRPr="00E43B53">
        <w:rPr>
          <w:rFonts w:ascii="Arial" w:hAnsi="Arial" w:cs="Arial"/>
          <w:bCs/>
          <w:sz w:val="16"/>
          <w:lang w:val="es-MX"/>
        </w:rPr>
        <w:t>salazar-marcelo2523@unesum.edu.ec</w:t>
      </w:r>
    </w:p>
    <w:p w14:paraId="7D2D3128" w14:textId="64F8D52A" w:rsidR="00AB74EE" w:rsidRPr="00E43B53" w:rsidRDefault="00E43B53" w:rsidP="00E43B53">
      <w:pPr>
        <w:pStyle w:val="Sinespaciado"/>
        <w:spacing w:after="100"/>
        <w:jc w:val="right"/>
        <w:rPr>
          <w:rFonts w:ascii="Arial" w:hAnsi="Arial" w:cs="Arial"/>
          <w:bCs/>
          <w:sz w:val="10"/>
          <w:szCs w:val="16"/>
          <w:lang w:val="es-MX"/>
        </w:rPr>
      </w:pPr>
      <w:hyperlink r:id="rId11" w:history="1">
        <w:r w:rsidRPr="00E43B53">
          <w:rPr>
            <w:rStyle w:val="Hipervnculo"/>
            <w:rFonts w:ascii="Arial" w:hAnsi="Arial" w:cs="Arial"/>
            <w:bCs/>
            <w:color w:val="auto"/>
            <w:sz w:val="16"/>
            <w:u w:val="none"/>
            <w:lang w:val="es-MX"/>
          </w:rPr>
          <w:t>https://orcid.org/0009-0006-2725-7334</w:t>
        </w:r>
      </w:hyperlink>
    </w:p>
    <w:p w14:paraId="56813020" w14:textId="77777777" w:rsidR="003474D1" w:rsidRPr="0064739B" w:rsidRDefault="003474D1" w:rsidP="003474D1">
      <w:pPr>
        <w:pStyle w:val="Sinespaciado"/>
        <w:jc w:val="right"/>
        <w:rPr>
          <w:rFonts w:ascii="Arial" w:hAnsi="Arial" w:cs="Arial"/>
          <w:bCs/>
          <w:sz w:val="16"/>
          <w:lang w:val="es-MX"/>
        </w:rPr>
      </w:pPr>
    </w:p>
    <w:tbl>
      <w:tblPr>
        <w:tblStyle w:val="Tablaconcuadrcula"/>
        <w:tblW w:w="8767" w:type="dxa"/>
        <w:tblLook w:val="04A0" w:firstRow="1" w:lastRow="0" w:firstColumn="1" w:lastColumn="0" w:noHBand="0" w:noVBand="1"/>
      </w:tblPr>
      <w:tblGrid>
        <w:gridCol w:w="4424"/>
        <w:gridCol w:w="4343"/>
      </w:tblGrid>
      <w:tr w:rsidR="00F76F46" w:rsidRPr="00F76F46" w14:paraId="730CB6D6" w14:textId="77777777" w:rsidTr="001A2AA2">
        <w:trPr>
          <w:trHeight w:val="1419"/>
        </w:trPr>
        <w:tc>
          <w:tcPr>
            <w:tcW w:w="4424" w:type="dxa"/>
          </w:tcPr>
          <w:p w14:paraId="0E14EACB" w14:textId="77777777" w:rsidR="00376E9D" w:rsidRDefault="00376E9D" w:rsidP="00376E9D">
            <w:pPr>
              <w:rPr>
                <w:rFonts w:cs="Arial"/>
                <w:b/>
                <w:sz w:val="16"/>
                <w:szCs w:val="16"/>
              </w:rPr>
            </w:pPr>
          </w:p>
          <w:p w14:paraId="3C9C38BB" w14:textId="333EDF9A" w:rsidR="00F76F46" w:rsidRPr="000F08FC" w:rsidRDefault="00F76F46" w:rsidP="00376E9D">
            <w:pPr>
              <w:rPr>
                <w:rFonts w:cs="Arial"/>
                <w:b/>
                <w:sz w:val="16"/>
                <w:szCs w:val="16"/>
              </w:rPr>
            </w:pPr>
            <w:r w:rsidRPr="000F08FC">
              <w:rPr>
                <w:rFonts w:cs="Arial"/>
                <w:b/>
                <w:sz w:val="16"/>
                <w:szCs w:val="16"/>
              </w:rPr>
              <w:t>Cómo citar:</w:t>
            </w:r>
          </w:p>
          <w:p w14:paraId="646BDD85" w14:textId="5CF1BEEE" w:rsidR="00F76F46" w:rsidRPr="0012470F" w:rsidRDefault="008020C5" w:rsidP="00B57DE1">
            <w:pPr>
              <w:rPr>
                <w:rFonts w:cs="Arial"/>
                <w:bCs/>
                <w:sz w:val="16"/>
                <w:szCs w:val="16"/>
              </w:rPr>
            </w:pPr>
            <w:r w:rsidRPr="008020C5">
              <w:rPr>
                <w:rFonts w:cs="Arial"/>
                <w:bCs/>
                <w:sz w:val="16"/>
                <w:szCs w:val="16"/>
              </w:rPr>
              <w:t>Control de gestión estratégico mediante analítica predictiva. (2026). </w:t>
            </w:r>
            <w:r w:rsidRPr="008020C5">
              <w:rPr>
                <w:rFonts w:cs="Arial"/>
                <w:bCs/>
                <w:i/>
                <w:iCs/>
                <w:sz w:val="16"/>
                <w:szCs w:val="16"/>
              </w:rPr>
              <w:t>Visión Académica</w:t>
            </w:r>
            <w:r w:rsidRPr="008020C5">
              <w:rPr>
                <w:rFonts w:cs="Arial"/>
                <w:bCs/>
                <w:sz w:val="16"/>
                <w:szCs w:val="16"/>
              </w:rPr>
              <w:t>, </w:t>
            </w:r>
            <w:r w:rsidRPr="008020C5">
              <w:rPr>
                <w:rFonts w:cs="Arial"/>
                <w:bCs/>
                <w:i/>
                <w:iCs/>
                <w:sz w:val="16"/>
                <w:szCs w:val="16"/>
              </w:rPr>
              <w:t>4</w:t>
            </w:r>
            <w:r w:rsidRPr="008020C5">
              <w:rPr>
                <w:rFonts w:cs="Arial"/>
                <w:bCs/>
                <w:sz w:val="16"/>
                <w:szCs w:val="16"/>
              </w:rPr>
              <w:t>(1), 59</w:t>
            </w:r>
            <w:r w:rsidR="005844FE">
              <w:rPr>
                <w:rFonts w:cs="Arial"/>
                <w:bCs/>
                <w:sz w:val="16"/>
                <w:szCs w:val="16"/>
              </w:rPr>
              <w:t>2</w:t>
            </w:r>
            <w:r w:rsidRPr="008020C5">
              <w:rPr>
                <w:rFonts w:cs="Arial"/>
                <w:bCs/>
                <w:sz w:val="16"/>
                <w:szCs w:val="16"/>
              </w:rPr>
              <w:t>-60</w:t>
            </w:r>
            <w:r w:rsidR="005844FE">
              <w:rPr>
                <w:rFonts w:cs="Arial"/>
                <w:bCs/>
                <w:sz w:val="16"/>
                <w:szCs w:val="16"/>
              </w:rPr>
              <w:t>5</w:t>
            </w:r>
            <w:r w:rsidRPr="008020C5">
              <w:rPr>
                <w:rFonts w:cs="Arial"/>
                <w:bCs/>
                <w:sz w:val="16"/>
                <w:szCs w:val="16"/>
              </w:rPr>
              <w:t>. </w:t>
            </w:r>
            <w:hyperlink r:id="rId12" w:history="1">
              <w:r w:rsidRPr="008020C5">
                <w:rPr>
                  <w:rStyle w:val="Hipervnculo"/>
                  <w:rFonts w:cs="Arial"/>
                  <w:bCs/>
                  <w:color w:val="auto"/>
                  <w:sz w:val="16"/>
                  <w:szCs w:val="16"/>
                  <w:u w:val="none"/>
                </w:rPr>
                <w:t>https://doi.org/10.70577/8f02v937</w:t>
              </w:r>
            </w:hyperlink>
          </w:p>
        </w:tc>
        <w:tc>
          <w:tcPr>
            <w:tcW w:w="4343" w:type="dxa"/>
          </w:tcPr>
          <w:p w14:paraId="76F0BA39" w14:textId="77777777" w:rsidR="00284989" w:rsidRDefault="00284989" w:rsidP="001A2AA2">
            <w:pPr>
              <w:spacing w:after="0" w:line="240" w:lineRule="auto"/>
              <w:jc w:val="center"/>
              <w:rPr>
                <w:rFonts w:eastAsia="Times New Roman" w:cs="Times New Roman"/>
                <w:sz w:val="16"/>
                <w:szCs w:val="16"/>
              </w:rPr>
            </w:pPr>
          </w:p>
          <w:p w14:paraId="6A523D33" w14:textId="17DF35C4" w:rsidR="00CE4A57" w:rsidRDefault="00CE4A57" w:rsidP="009B5A12">
            <w:pPr>
              <w:tabs>
                <w:tab w:val="left" w:pos="2758"/>
              </w:tabs>
              <w:spacing w:after="0" w:line="240" w:lineRule="auto"/>
              <w:rPr>
                <w:rFonts w:eastAsia="Times New Roman" w:cs="Times New Roman"/>
                <w:sz w:val="16"/>
                <w:szCs w:val="16"/>
              </w:rPr>
            </w:pPr>
            <w:r w:rsidRPr="000F08FC">
              <w:rPr>
                <w:rFonts w:eastAsia="Times New Roman" w:cs="Times New Roman"/>
                <w:sz w:val="16"/>
                <w:szCs w:val="16"/>
              </w:rPr>
              <w:t>Fecha de recepción: 202</w:t>
            </w:r>
            <w:r w:rsidR="001A2AA2">
              <w:rPr>
                <w:rFonts w:eastAsia="Times New Roman" w:cs="Times New Roman"/>
                <w:sz w:val="16"/>
                <w:szCs w:val="16"/>
              </w:rPr>
              <w:t>6</w:t>
            </w:r>
            <w:r w:rsidRPr="000F08FC">
              <w:rPr>
                <w:rFonts w:eastAsia="Times New Roman" w:cs="Times New Roman"/>
                <w:sz w:val="16"/>
                <w:szCs w:val="16"/>
              </w:rPr>
              <w:t>-</w:t>
            </w:r>
            <w:r w:rsidR="001A2AA2">
              <w:rPr>
                <w:rFonts w:eastAsia="Times New Roman" w:cs="Times New Roman"/>
                <w:sz w:val="16"/>
                <w:szCs w:val="16"/>
              </w:rPr>
              <w:t>01</w:t>
            </w:r>
            <w:r w:rsidRPr="000F08FC">
              <w:rPr>
                <w:rFonts w:eastAsia="Times New Roman" w:cs="Times New Roman"/>
                <w:sz w:val="16"/>
                <w:szCs w:val="16"/>
              </w:rPr>
              <w:t>-</w:t>
            </w:r>
            <w:r w:rsidR="00E43B53">
              <w:rPr>
                <w:rFonts w:eastAsia="Times New Roman" w:cs="Times New Roman"/>
                <w:sz w:val="16"/>
                <w:szCs w:val="16"/>
              </w:rPr>
              <w:t>05</w:t>
            </w:r>
          </w:p>
          <w:p w14:paraId="7002AC29" w14:textId="77777777" w:rsidR="00CE4A57" w:rsidRDefault="00CE4A57" w:rsidP="001A2AA2">
            <w:pPr>
              <w:spacing w:after="0" w:line="240" w:lineRule="auto"/>
              <w:rPr>
                <w:rFonts w:eastAsia="Times New Roman" w:cs="Times New Roman"/>
                <w:sz w:val="16"/>
                <w:szCs w:val="16"/>
              </w:rPr>
            </w:pPr>
          </w:p>
          <w:p w14:paraId="31938A8B" w14:textId="77777777" w:rsidR="00CE4A57" w:rsidRDefault="00CE4A57" w:rsidP="001A2AA2">
            <w:pPr>
              <w:spacing w:after="0" w:line="240" w:lineRule="auto"/>
              <w:rPr>
                <w:rFonts w:eastAsia="Times New Roman" w:cs="Times New Roman"/>
                <w:sz w:val="16"/>
                <w:szCs w:val="16"/>
              </w:rPr>
            </w:pPr>
          </w:p>
          <w:p w14:paraId="0436D4D6" w14:textId="77777777" w:rsidR="00CE4A57" w:rsidRPr="000F08FC" w:rsidRDefault="00CE4A57" w:rsidP="001A2AA2">
            <w:pPr>
              <w:spacing w:after="0" w:line="240" w:lineRule="auto"/>
              <w:rPr>
                <w:rFonts w:eastAsia="Times New Roman" w:cs="Times New Roman"/>
                <w:sz w:val="16"/>
                <w:szCs w:val="16"/>
              </w:rPr>
            </w:pPr>
          </w:p>
          <w:p w14:paraId="468FBD28" w14:textId="35B7A964" w:rsidR="00CE4A57" w:rsidRDefault="00CE4A57" w:rsidP="001A2AA2">
            <w:pPr>
              <w:spacing w:after="0" w:line="240" w:lineRule="auto"/>
              <w:rPr>
                <w:rFonts w:eastAsia="Times New Roman" w:cs="Times New Roman"/>
                <w:sz w:val="16"/>
                <w:szCs w:val="16"/>
              </w:rPr>
            </w:pPr>
            <w:r w:rsidRPr="000F08FC">
              <w:rPr>
                <w:rFonts w:eastAsia="Times New Roman" w:cs="Times New Roman"/>
                <w:sz w:val="16"/>
                <w:szCs w:val="16"/>
              </w:rPr>
              <w:t>Fecha de aceptación: 2026-0</w:t>
            </w:r>
            <w:r w:rsidR="00983DF8">
              <w:rPr>
                <w:rFonts w:eastAsia="Times New Roman" w:cs="Times New Roman"/>
                <w:sz w:val="16"/>
                <w:szCs w:val="16"/>
              </w:rPr>
              <w:t>2</w:t>
            </w:r>
            <w:r w:rsidRPr="000F08FC">
              <w:rPr>
                <w:rFonts w:eastAsia="Times New Roman" w:cs="Times New Roman"/>
                <w:sz w:val="16"/>
                <w:szCs w:val="16"/>
              </w:rPr>
              <w:t>-</w:t>
            </w:r>
            <w:r w:rsidR="00E43B53">
              <w:rPr>
                <w:rFonts w:eastAsia="Times New Roman" w:cs="Times New Roman"/>
                <w:sz w:val="16"/>
                <w:szCs w:val="16"/>
              </w:rPr>
              <w:t>03</w:t>
            </w:r>
          </w:p>
          <w:p w14:paraId="13586FD7" w14:textId="77777777" w:rsidR="00CE4A57" w:rsidRDefault="00CE4A57" w:rsidP="001A2AA2">
            <w:pPr>
              <w:spacing w:after="0" w:line="240" w:lineRule="auto"/>
              <w:rPr>
                <w:rFonts w:eastAsia="Times New Roman" w:cs="Times New Roman"/>
                <w:sz w:val="16"/>
                <w:szCs w:val="16"/>
              </w:rPr>
            </w:pPr>
          </w:p>
          <w:p w14:paraId="42C74972" w14:textId="77777777" w:rsidR="00CE4A57" w:rsidRDefault="00CE4A57" w:rsidP="001A2AA2">
            <w:pPr>
              <w:spacing w:after="0" w:line="240" w:lineRule="auto"/>
              <w:rPr>
                <w:rFonts w:eastAsia="Times New Roman" w:cs="Times New Roman"/>
                <w:sz w:val="16"/>
                <w:szCs w:val="16"/>
              </w:rPr>
            </w:pPr>
          </w:p>
          <w:p w14:paraId="7259790C" w14:textId="77777777" w:rsidR="00CE4A57" w:rsidRPr="000F08FC" w:rsidRDefault="00CE4A57" w:rsidP="001A2AA2">
            <w:pPr>
              <w:spacing w:after="0" w:line="240" w:lineRule="auto"/>
              <w:rPr>
                <w:rFonts w:eastAsia="Times New Roman" w:cs="Times New Roman"/>
                <w:sz w:val="16"/>
                <w:szCs w:val="16"/>
              </w:rPr>
            </w:pPr>
          </w:p>
          <w:p w14:paraId="1C1F2CF7" w14:textId="4AE5800B" w:rsidR="00F76F46" w:rsidRPr="000F08FC" w:rsidRDefault="00CE4A57" w:rsidP="001A2AA2">
            <w:pPr>
              <w:rPr>
                <w:rFonts w:eastAsia="Times New Roman" w:cs="Times New Roman"/>
                <w:sz w:val="16"/>
                <w:szCs w:val="16"/>
              </w:rPr>
            </w:pPr>
            <w:r w:rsidRPr="000F08FC">
              <w:rPr>
                <w:rFonts w:eastAsia="Times New Roman" w:cs="Times New Roman"/>
                <w:sz w:val="16"/>
                <w:szCs w:val="16"/>
              </w:rPr>
              <w:t>Fecha de publicación: 2026-0</w:t>
            </w:r>
            <w:r w:rsidR="001A2AA2">
              <w:rPr>
                <w:rFonts w:eastAsia="Times New Roman" w:cs="Times New Roman"/>
                <w:sz w:val="16"/>
                <w:szCs w:val="16"/>
              </w:rPr>
              <w:t>3</w:t>
            </w:r>
            <w:r w:rsidRPr="000F08FC">
              <w:rPr>
                <w:rFonts w:eastAsia="Times New Roman" w:cs="Times New Roman"/>
                <w:sz w:val="16"/>
                <w:szCs w:val="16"/>
              </w:rPr>
              <w:t>-</w:t>
            </w:r>
            <w:r w:rsidR="008020C5">
              <w:rPr>
                <w:rFonts w:eastAsia="Times New Roman" w:cs="Times New Roman"/>
                <w:sz w:val="16"/>
                <w:szCs w:val="16"/>
              </w:rPr>
              <w:t>10</w:t>
            </w:r>
          </w:p>
        </w:tc>
      </w:tr>
    </w:tbl>
    <w:p w14:paraId="5666D14D" w14:textId="38B4CCAB" w:rsidR="00523375" w:rsidRPr="00FB3576" w:rsidRDefault="000F08FC" w:rsidP="00983DF8">
      <w:pPr>
        <w:spacing w:before="240"/>
        <w:rPr>
          <w:b/>
          <w:bCs/>
        </w:rPr>
      </w:pPr>
      <w:r w:rsidRPr="00FB3576">
        <w:rPr>
          <w:b/>
          <w:bCs/>
        </w:rPr>
        <w:t>Resumen</w:t>
      </w:r>
    </w:p>
    <w:p w14:paraId="20923E51" w14:textId="77777777" w:rsidR="00E43B53" w:rsidRPr="00E43B53" w:rsidRDefault="00E43B53" w:rsidP="00E43B53">
      <w:pPr>
        <w:rPr>
          <w:rFonts w:eastAsia="Times New Roman" w:cs="Arial"/>
          <w:szCs w:val="20"/>
          <w:lang w:val="es-EC" w:eastAsia="es-EC"/>
        </w:rPr>
      </w:pPr>
      <w:r w:rsidRPr="00E43B53">
        <w:rPr>
          <w:rFonts w:eastAsia="Times New Roman" w:cs="Arial"/>
          <w:szCs w:val="20"/>
          <w:lang w:val="es-EC" w:eastAsia="es-EC"/>
        </w:rPr>
        <w:t xml:space="preserve">La digitalización institucional ha incrementado significativamente la disponibilidad de datos para la gestión pública; sin embargo, persiste una brecha entre la generación de información y su utilización estratégica para anticipar desviaciones en el desempeño organizacional. El objetivo del estudio fue analizar la incidencia de la madurez digital y la analítica predictiva en el fortalecimiento del control de gestión estratégico. Se empleó un enfoque cuantitativo explicativo con diseño no experimental y análisis longitudinal retrospectivo basado en indicadores de gobierno digital y desempeño institucional. El análisis estadístico incluyó estadística descriptiva avanzada, correlación de Spearman, verificación de normalidad mediante Shapiro-Wilk y evaluación de fiabilidad con Alfa de Cronbach superior a 0.80, además de modelos de regresión penalizada Ridge y LASSO. Los resultados evidencian un incremento sustancial en la madurez digital, con el índice </w:t>
      </w:r>
      <w:proofErr w:type="spellStart"/>
      <w:r w:rsidRPr="00E43B53">
        <w:rPr>
          <w:rFonts w:eastAsia="Times New Roman" w:cs="Arial"/>
          <w:szCs w:val="20"/>
          <w:lang w:val="es-EC" w:eastAsia="es-EC"/>
        </w:rPr>
        <w:t>GovTech</w:t>
      </w:r>
      <w:proofErr w:type="spellEnd"/>
      <w:r w:rsidRPr="00E43B53">
        <w:rPr>
          <w:rFonts w:eastAsia="Times New Roman" w:cs="Arial"/>
          <w:szCs w:val="20"/>
          <w:lang w:val="es-EC" w:eastAsia="es-EC"/>
        </w:rPr>
        <w:t xml:space="preserve"> que pasó de 0.552 a 0.863, mientras que el subíndice de calidad y seguridad de datos registró la mayor variación (0.449 a 0.912). De igual forma, los servicios públicos digitales alcanzaron valores de 0.924, reflejando una expansión significativa de los datos transaccionales disponibles. El modelo Ridge confirmó estabilidad en la contribución de los subíndices digitales al desempeño institucional, mientras que LASSO evidenció reducción de coeficientes por alta colinealidad y baja densidad temporal. En términos estratégicos, los resultados muestran que la disponibilidad de datos estructurados mejora la capacidad de monitoreo, facilita la incorporación de modelos predictivos y fortalece la anticipación de riesgos dentro del control de gestión.</w:t>
      </w:r>
    </w:p>
    <w:p w14:paraId="591B0DCC" w14:textId="256D7960" w:rsidR="0064739B" w:rsidRDefault="00E43B53" w:rsidP="00E43B53">
      <w:pPr>
        <w:rPr>
          <w:rFonts w:eastAsia="Times New Roman" w:cs="Arial"/>
          <w:szCs w:val="20"/>
          <w:lang w:val="es-EC" w:eastAsia="es-EC"/>
        </w:rPr>
      </w:pPr>
      <w:r w:rsidRPr="00E43B53">
        <w:rPr>
          <w:rFonts w:eastAsia="Times New Roman" w:cs="Arial"/>
          <w:b/>
          <w:bCs/>
          <w:szCs w:val="20"/>
          <w:lang w:val="es-EC" w:eastAsia="es-EC"/>
        </w:rPr>
        <w:t>Palabras clave:</w:t>
      </w:r>
      <w:r w:rsidRPr="00E43B53">
        <w:rPr>
          <w:rFonts w:eastAsia="Times New Roman" w:cs="Arial"/>
          <w:szCs w:val="20"/>
          <w:lang w:val="es-EC" w:eastAsia="es-EC"/>
        </w:rPr>
        <w:t xml:space="preserve"> Gestión estratégica, analítica predictiva, digitalización, regresión penalizada.</w:t>
      </w:r>
    </w:p>
    <w:p w14:paraId="7A2737B2" w14:textId="77777777" w:rsidR="00E43B53" w:rsidRPr="00AB74EE" w:rsidRDefault="00E43B53" w:rsidP="00E43B53">
      <w:pPr>
        <w:rPr>
          <w:rFonts w:cs="Arial"/>
          <w:szCs w:val="20"/>
        </w:rPr>
      </w:pPr>
    </w:p>
    <w:p w14:paraId="1C36B376" w14:textId="47B5B9AC" w:rsidR="0031634D" w:rsidRPr="00B94167" w:rsidRDefault="00E43B53" w:rsidP="00AA0750">
      <w:pPr>
        <w:jc w:val="center"/>
        <w:rPr>
          <w:rFonts w:cs="Arial"/>
          <w:b/>
          <w:bCs/>
          <w:lang w:val="en-US"/>
        </w:rPr>
      </w:pPr>
      <w:r w:rsidRPr="00E43B53">
        <w:rPr>
          <w:rStyle w:val="Textoennegrita"/>
          <w:rFonts w:cs="Arial"/>
          <w:szCs w:val="20"/>
          <w:lang w:val="en-US"/>
        </w:rPr>
        <w:lastRenderedPageBreak/>
        <w:t>Strategic management control through predictive analytics</w:t>
      </w:r>
    </w:p>
    <w:p w14:paraId="72ECDFCE" w14:textId="1F65B753" w:rsidR="00CE4A57" w:rsidRPr="00FB3576" w:rsidRDefault="00CE4A57" w:rsidP="006A2844">
      <w:pPr>
        <w:rPr>
          <w:b/>
          <w:bCs/>
          <w:lang w:val="en-US"/>
        </w:rPr>
      </w:pPr>
      <w:r w:rsidRPr="00FB3576">
        <w:rPr>
          <w:b/>
          <w:bCs/>
          <w:lang w:val="en-US"/>
        </w:rPr>
        <w:t>Abstract</w:t>
      </w:r>
    </w:p>
    <w:p w14:paraId="16A87FFF" w14:textId="57469D8A" w:rsidR="00E43B53" w:rsidRPr="00E43B53" w:rsidRDefault="00E43B53" w:rsidP="00E43B53">
      <w:pPr>
        <w:rPr>
          <w:rFonts w:eastAsia="Times New Roman" w:cs="Arial"/>
          <w:szCs w:val="20"/>
          <w:lang w:val="en-US" w:eastAsia="es-EC"/>
        </w:rPr>
      </w:pPr>
      <w:r w:rsidRPr="00E43B53">
        <w:rPr>
          <w:rFonts w:eastAsia="Times New Roman" w:cs="Arial"/>
          <w:szCs w:val="20"/>
          <w:lang w:val="en-US" w:eastAsia="es-EC"/>
        </w:rPr>
        <w:t xml:space="preserve">Institutional digitalization has significantly increased the availability of data for public management; however, a gap persists between data generation and its strategic use to anticipate deviations in organizational performance. The objective of this study was to analyze the influence of digital maturity and predictive analytics on strengthening strategic management control. A quantitative explanatory approach was applied using a non-experimental design and retrospective longitudinal analysis based on digital government and institutional performance indicators. The statistical analysis included advanced descriptive statistics, Spearman correlation, normality verification using the Shapiro Wilk test, and reliability assessment through Cronbach’s Alpha above 0.80, complemented with penalized regression models Ridge and LASSO. The results show a substantial increase in digital maturity, with the </w:t>
      </w:r>
      <w:proofErr w:type="spellStart"/>
      <w:r w:rsidRPr="00E43B53">
        <w:rPr>
          <w:rFonts w:eastAsia="Times New Roman" w:cs="Arial"/>
          <w:szCs w:val="20"/>
          <w:lang w:val="en-US" w:eastAsia="es-EC"/>
        </w:rPr>
        <w:t>GovTech</w:t>
      </w:r>
      <w:proofErr w:type="spellEnd"/>
      <w:r w:rsidRPr="00E43B53">
        <w:rPr>
          <w:rFonts w:eastAsia="Times New Roman" w:cs="Arial"/>
          <w:szCs w:val="20"/>
          <w:lang w:val="en-US" w:eastAsia="es-EC"/>
        </w:rPr>
        <w:t xml:space="preserve"> index rising from 0.552 to 0.863, while the data quality and digital security subindex recorded the largest improvement from 0.449 to 0.912. Similarly, digital public services reached values of 0.924, reflecting a significant expansion of available transactional data. The Ridge model confirmed stability in the contribution of digital subindices to institutional performance, whereas LASSO reduced coefficients due to high collinearity and limited temporal observations. Overall, the findings indicate that the availability of structured data strengthens monitoring capacity, facilitates the integration of predictive models, and improves the anticipation of risks within strategic management control systems.</w:t>
      </w:r>
    </w:p>
    <w:p w14:paraId="637EC52F" w14:textId="594316C7" w:rsidR="0068117F" w:rsidRPr="0068117F" w:rsidRDefault="00E43B53" w:rsidP="00E43B53">
      <w:pPr>
        <w:rPr>
          <w:rFonts w:eastAsia="Times New Roman" w:cs="Arial"/>
          <w:szCs w:val="20"/>
          <w:lang w:val="en-US" w:eastAsia="es-EC"/>
        </w:rPr>
      </w:pPr>
      <w:r w:rsidRPr="00E43B53">
        <w:rPr>
          <w:rFonts w:eastAsia="Times New Roman" w:cs="Arial"/>
          <w:b/>
          <w:bCs/>
          <w:szCs w:val="20"/>
          <w:lang w:val="en-US" w:eastAsia="es-EC"/>
        </w:rPr>
        <w:t>Keywords:</w:t>
      </w:r>
      <w:r w:rsidRPr="00E43B53">
        <w:rPr>
          <w:rFonts w:eastAsia="Times New Roman" w:cs="Arial"/>
          <w:szCs w:val="20"/>
          <w:lang w:val="en-US" w:eastAsia="es-EC"/>
        </w:rPr>
        <w:t xml:space="preserve"> Strategic management, predictive analytics, digitization, penalized regression.</w:t>
      </w:r>
    </w:p>
    <w:p w14:paraId="30B58DA3" w14:textId="6BEA2666" w:rsidR="00983DF8" w:rsidRDefault="000F08FC" w:rsidP="005F6F10">
      <w:pPr>
        <w:tabs>
          <w:tab w:val="left" w:pos="7662"/>
        </w:tabs>
        <w:rPr>
          <w:b/>
          <w:bCs/>
        </w:rPr>
      </w:pPr>
      <w:r w:rsidRPr="00FB3576">
        <w:rPr>
          <w:b/>
          <w:bCs/>
        </w:rPr>
        <w:t>Introducción</w:t>
      </w:r>
      <w:r w:rsidR="005F6F10">
        <w:rPr>
          <w:b/>
          <w:bCs/>
        </w:rPr>
        <w:tab/>
      </w:r>
    </w:p>
    <w:p w14:paraId="7E803BB1" w14:textId="77777777" w:rsidR="00E43B53" w:rsidRPr="00E43B53" w:rsidRDefault="00E43B53" w:rsidP="00E43B53">
      <w:pPr>
        <w:rPr>
          <w:rFonts w:eastAsia="Times New Roman" w:cs="Arial"/>
          <w:szCs w:val="20"/>
          <w:lang w:val="es-EC" w:eastAsia="es-EC"/>
        </w:rPr>
      </w:pPr>
      <w:r w:rsidRPr="00E43B53">
        <w:rPr>
          <w:rFonts w:eastAsia="Times New Roman" w:cs="Arial"/>
          <w:szCs w:val="20"/>
          <w:lang w:val="es-EC" w:eastAsia="es-EC"/>
        </w:rPr>
        <w:t>El control de gestión estratégico ha evolucionado desde enfoques centrados en la verificación ex post del desempeño hacia arquitecturas de información orientadas a anticipar desviaciones, modelar escenarios y sostener decisiones de alto impacto en tiempo oportuno. En este giro, la analítica predictiva se integra como un componente técnico de la función de control, al transformar datos operativos y financieros en señales de alerta temprana, patrones de comportamiento y estimaciones probabilísticas que fortalecen la capacidad directiva para conducir la estrategia con mayor precisión. Este marco requiere comprender que la ventaja no proviene únicamente del volumen de datos disponible, sino de su tratamiento mediante modelos, reglas de negocio y criterios de calidad que aseguren trazabilidad, consistencia y utilidad gerencial para el seguimiento de objetivos estratégicos (Barón, 2021).</w:t>
      </w:r>
    </w:p>
    <w:p w14:paraId="187EED1D" w14:textId="77777777" w:rsidR="00E43B53" w:rsidRPr="00E43B53" w:rsidRDefault="00E43B53" w:rsidP="00E43B53">
      <w:pPr>
        <w:rPr>
          <w:rFonts w:eastAsia="Times New Roman" w:cs="Arial"/>
          <w:szCs w:val="20"/>
          <w:lang w:val="es-EC" w:eastAsia="es-EC"/>
        </w:rPr>
      </w:pPr>
      <w:r w:rsidRPr="00E43B53">
        <w:rPr>
          <w:rFonts w:eastAsia="Times New Roman" w:cs="Arial"/>
          <w:szCs w:val="20"/>
          <w:lang w:val="es-EC" w:eastAsia="es-EC"/>
        </w:rPr>
        <w:t xml:space="preserve">Desde la perspectiva de la dirección estratégica, el control de gestión se consolida cuando los sistemas de información permiten observar la relación entre recursos, procesos y resultados, y cuando dicha relación puede expresarse en indicadores alineados con metas institucionales. La incorporación de inteligencia de negocios y técnicas analíticas facilita la estructuración de tableros y repositorios que soportan la monitorización, la comparación </w:t>
      </w:r>
      <w:proofErr w:type="spellStart"/>
      <w:r w:rsidRPr="00E43B53">
        <w:rPr>
          <w:rFonts w:eastAsia="Times New Roman" w:cs="Arial"/>
          <w:szCs w:val="20"/>
          <w:lang w:val="es-EC" w:eastAsia="es-EC"/>
        </w:rPr>
        <w:t>interperiodos</w:t>
      </w:r>
      <w:proofErr w:type="spellEnd"/>
      <w:r w:rsidRPr="00E43B53">
        <w:rPr>
          <w:rFonts w:eastAsia="Times New Roman" w:cs="Arial"/>
          <w:szCs w:val="20"/>
          <w:lang w:val="es-EC" w:eastAsia="es-EC"/>
        </w:rPr>
        <w:t xml:space="preserve"> y la lectura integrada del desempeño. En contextos organizacionales con alta presión por eficiencia y rendición de cuentas, este soporte analítico refuerza la gobernanza del desempeño, al reducir asimetrías de información y acelerar ciclos de decisión en torno a prioridades estratégicas (Calderón et al., 2021).</w:t>
      </w:r>
    </w:p>
    <w:p w14:paraId="585B3618" w14:textId="77777777" w:rsidR="00E43B53" w:rsidRPr="00E43B53" w:rsidRDefault="00E43B53" w:rsidP="00E43B53">
      <w:pPr>
        <w:rPr>
          <w:rFonts w:eastAsia="Times New Roman" w:cs="Arial"/>
          <w:szCs w:val="20"/>
          <w:lang w:val="es-EC" w:eastAsia="es-EC"/>
        </w:rPr>
      </w:pPr>
      <w:r w:rsidRPr="00E43B53">
        <w:rPr>
          <w:rFonts w:eastAsia="Times New Roman" w:cs="Arial"/>
          <w:szCs w:val="20"/>
          <w:lang w:val="es-EC" w:eastAsia="es-EC"/>
        </w:rPr>
        <w:lastRenderedPageBreak/>
        <w:t>La analítica predictiva, en términos funcionales, opera como una extensión del control porque traslada el énfasis desde el registro y reporte hacia la inferencia de tendencias y la proyección de resultados esperados bajo supuestos explícitos. Este tránsito demanda bases de datos confiables, integración de fuentes y modelos capaces de capturar relaciones no lineales o efectos combinados entre variables críticas del negocio, como demanda, productividad, rotación, riesgo de incumplimiento o variaciones de costos. Así, el control estratégico incorpora un componente prospectivo que permite ajustar planes y asignaciones antes de que se materialicen brechas relevantes de desempeño, lo que incrementa la capacidad de respuesta institucional (Calle, 2021).</w:t>
      </w:r>
    </w:p>
    <w:p w14:paraId="3E371847" w14:textId="77777777" w:rsidR="00E43B53" w:rsidRPr="00E43B53" w:rsidRDefault="00E43B53" w:rsidP="00E43B53">
      <w:pPr>
        <w:rPr>
          <w:rFonts w:eastAsia="Times New Roman" w:cs="Arial"/>
          <w:szCs w:val="20"/>
          <w:lang w:val="es-EC" w:eastAsia="es-EC"/>
        </w:rPr>
      </w:pPr>
      <w:r w:rsidRPr="00E43B53">
        <w:rPr>
          <w:rFonts w:eastAsia="Times New Roman" w:cs="Arial"/>
          <w:szCs w:val="20"/>
          <w:lang w:val="es-EC" w:eastAsia="es-EC"/>
        </w:rPr>
        <w:t>En paralelo, el despliegue de herramientas asociadas a inteligencia artificial habilita mecanismos de automatización y aprendizaje que elevan el alcance del control de gestión, al integrar reglas, clasificación y predicción sobre flujos de datos que cambian con rapidez. Este enfoque no sustituye el juicio directivo, pero sí amplía la cobertura analítica del sistema de control mediante modelos que identifican señales tempranas, priorizan riesgos y sugieren acciones de ajuste con base en patrones históricos. Para las organizaciones, el reto pasa por vincular estas capacidades con criterios de sostenibilidad, ética y viabilidad operativa, de modo que la sofisticación tecnológica se traduzca en valor de gestión y no solo en complejidad instrumental (Chávez, 2021).</w:t>
      </w:r>
    </w:p>
    <w:p w14:paraId="62AB224C" w14:textId="1BA26110" w:rsidR="00E43B53" w:rsidRPr="00E43B53" w:rsidRDefault="00E43B53" w:rsidP="00E43B53">
      <w:pPr>
        <w:rPr>
          <w:rFonts w:eastAsia="Times New Roman" w:cs="Arial"/>
          <w:szCs w:val="20"/>
          <w:lang w:val="es-EC" w:eastAsia="es-EC"/>
        </w:rPr>
      </w:pPr>
      <w:r w:rsidRPr="00E43B53">
        <w:rPr>
          <w:rFonts w:eastAsia="Times New Roman" w:cs="Arial"/>
          <w:szCs w:val="20"/>
          <w:lang w:val="es-EC" w:eastAsia="es-EC"/>
        </w:rPr>
        <w:t xml:space="preserve">En el plano de la gestión, la adopción de analítica predictiva en entornos de control estratégico se operacionaliza mediante arquitecturas de analítica de datos que incluyen procesos de captura, limpieza, modelado y visualización, con responsabilidad definida sobre la integridad de la información. En este escenario, la calidad del dato, la estandarización de definiciones y el gobierno de la información constituyen condiciones habilitantes para que los modelos predictivos sean interpretables y accionables por la dirección (Pérez et al., 2022). Asimismo, la analítica predictiva se vincula con la medición del desempeño al mejorar la capacidad de pronóstico y apoyar la selección de indicadores con mayor sensibilidad a cambios operativos. Desde un enfoque de gestión basada en datos, los modelos predictivos pueden integrarse con tableros de control y rutinas de seguimiento para estimar resultados esperados, cuantificar incertidumbre y analizar elasticidades ante decisiones </w:t>
      </w:r>
      <w:r w:rsidR="008020C5" w:rsidRPr="00E43B53">
        <w:rPr>
          <w:rFonts w:eastAsia="Times New Roman" w:cs="Arial"/>
          <w:szCs w:val="20"/>
          <w:lang w:val="es-EC" w:eastAsia="es-EC"/>
        </w:rPr>
        <w:t>alternativas (</w:t>
      </w:r>
      <w:r w:rsidRPr="00E43B53">
        <w:rPr>
          <w:rFonts w:eastAsia="Times New Roman" w:cs="Arial"/>
          <w:szCs w:val="20"/>
          <w:lang w:val="es-EC" w:eastAsia="es-EC"/>
        </w:rPr>
        <w:t>Palma et al., 2022).</w:t>
      </w:r>
    </w:p>
    <w:p w14:paraId="5A4FBAE3" w14:textId="77777777" w:rsidR="00E43B53" w:rsidRPr="00E43B53" w:rsidRDefault="00E43B53" w:rsidP="00E43B53">
      <w:pPr>
        <w:rPr>
          <w:rFonts w:eastAsia="Times New Roman" w:cs="Arial"/>
          <w:szCs w:val="20"/>
          <w:lang w:val="es-EC" w:eastAsia="es-EC"/>
        </w:rPr>
      </w:pPr>
      <w:r w:rsidRPr="00E43B53">
        <w:rPr>
          <w:rFonts w:eastAsia="Times New Roman" w:cs="Arial"/>
          <w:szCs w:val="20"/>
          <w:lang w:val="es-EC" w:eastAsia="es-EC"/>
        </w:rPr>
        <w:t>A nivel aplicado, la literatura reciente ha reportado que la analítica predictiva impacta de forma directa la toma de decisiones gerenciales al reducir la dependencia de intuiciones no contrastadas y al mejorar la consistencia de decisiones repetitivas, como asignación de recursos, priorización de acciones correctivas y focalización de intervenciones comerciales u operativas. Esta contribución se vuelve más visible cuando la organización define preguntas de negocio claras, establece umbrales de alerta y articula los resultados del modelo con procesos formales de control, como comités de desempeño y revisiones periódicas de indicadores. En tales condiciones, la analítica predictiva actúa como un catalizador de disciplina analítica en la gestión estratégica (Casanova, 2023).</w:t>
      </w:r>
    </w:p>
    <w:p w14:paraId="3FC18B47" w14:textId="77777777" w:rsidR="00E43B53" w:rsidRPr="00E43B53" w:rsidRDefault="00E43B53" w:rsidP="00E43B53">
      <w:pPr>
        <w:rPr>
          <w:rFonts w:eastAsia="Times New Roman" w:cs="Arial"/>
          <w:szCs w:val="20"/>
          <w:lang w:val="es-EC" w:eastAsia="es-EC"/>
        </w:rPr>
      </w:pPr>
      <w:r w:rsidRPr="00E43B53">
        <w:rPr>
          <w:rFonts w:eastAsia="Times New Roman" w:cs="Arial"/>
          <w:szCs w:val="20"/>
          <w:lang w:val="es-EC" w:eastAsia="es-EC"/>
        </w:rPr>
        <w:t xml:space="preserve">En este marco, la inteligencia de negocios se reconoce como soporte instrumental para la operación cotidiana del control estratégico, especialmente cuando los tableros permiten rastrear indicadores, comparar metas y comunicar hallazgos a distintos niveles de la organización. La utilidad gerencial se incrementa cuando los sistemas facilitan una lectura integral del desempeño y vinculan los resultados con decisiones específicas, tales como ajustes de estrategia comercial, redistribución de </w:t>
      </w:r>
      <w:r w:rsidRPr="00E43B53">
        <w:rPr>
          <w:rFonts w:eastAsia="Times New Roman" w:cs="Arial"/>
          <w:szCs w:val="20"/>
          <w:lang w:val="es-EC" w:eastAsia="es-EC"/>
        </w:rPr>
        <w:lastRenderedPageBreak/>
        <w:t xml:space="preserve">recursos o redefinición de prioridades. Esta articulación entre visualización, análisis y decisión contribuye a consolidar un control de gestión con orientación estratégica y con capacidad de respuesta ante entornos cambiantes (Arévalo, 2023). Este estudio se estructura para analizar la incidencia de la madurez digital y la analítica predictiva en el fortalecimiento del control de gestión estratégico </w:t>
      </w:r>
    </w:p>
    <w:p w14:paraId="7F090372" w14:textId="77777777" w:rsidR="00E43B53" w:rsidRPr="00E43B53" w:rsidRDefault="00E43B53" w:rsidP="00E43B53">
      <w:pPr>
        <w:rPr>
          <w:rFonts w:eastAsia="Times New Roman" w:cs="Arial"/>
          <w:b/>
          <w:bCs/>
          <w:szCs w:val="20"/>
          <w:lang w:val="es-EC" w:eastAsia="es-EC"/>
        </w:rPr>
      </w:pPr>
      <w:r w:rsidRPr="00E43B53">
        <w:rPr>
          <w:rFonts w:eastAsia="Times New Roman" w:cs="Arial"/>
          <w:b/>
          <w:bCs/>
          <w:szCs w:val="20"/>
          <w:lang w:val="es-EC" w:eastAsia="es-EC"/>
        </w:rPr>
        <w:t>Fundamentos del control de gestión estratégico orientado por datos</w:t>
      </w:r>
    </w:p>
    <w:p w14:paraId="17D638C2" w14:textId="77777777" w:rsidR="00E43B53" w:rsidRPr="00E43B53" w:rsidRDefault="00E43B53" w:rsidP="00E43B53">
      <w:pPr>
        <w:rPr>
          <w:rFonts w:eastAsia="Times New Roman" w:cs="Arial"/>
          <w:szCs w:val="20"/>
          <w:lang w:val="es-EC" w:eastAsia="es-EC"/>
        </w:rPr>
      </w:pPr>
      <w:r w:rsidRPr="00E43B53">
        <w:rPr>
          <w:rFonts w:eastAsia="Times New Roman" w:cs="Arial"/>
          <w:szCs w:val="20"/>
          <w:lang w:val="es-EC" w:eastAsia="es-EC"/>
        </w:rPr>
        <w:t>En organizaciones que gestionan operaciones con alta variabilidad de demanda, la incorporación de proyecciones periódicas dentro del tablero estratégico permite ajustar decisiones logísticas antes de que los indicadores históricos reflejen desviaciones significativas, lo que evidencia la transición desde un control reactivo hacia uno orientado por anticipación. Esta lógica se integra al enfoque de control de gestión estratégico basado en datos, donde el seguimiento de indicadores se transforma en un proceso sistemático de aprendizaje directivo, con trazabilidad de supuestos, monitoreo continuo y capacidad de ajuste estructurado.</w:t>
      </w:r>
    </w:p>
    <w:p w14:paraId="104C2633" w14:textId="77777777" w:rsidR="00E43B53" w:rsidRPr="00E43B53" w:rsidRDefault="00E43B53" w:rsidP="00E43B53">
      <w:pPr>
        <w:rPr>
          <w:rFonts w:eastAsia="Times New Roman" w:cs="Arial"/>
          <w:szCs w:val="20"/>
          <w:lang w:val="es-EC" w:eastAsia="es-EC"/>
        </w:rPr>
      </w:pPr>
      <w:r w:rsidRPr="00E43B53">
        <w:rPr>
          <w:rFonts w:eastAsia="Times New Roman" w:cs="Arial"/>
          <w:szCs w:val="20"/>
          <w:lang w:val="es-EC" w:eastAsia="es-EC"/>
        </w:rPr>
        <w:t>El control de gestión estratégico se fortalece cuando los sistemas de información incorporan inteligencia de negocios y analítica aplicada, convirtiendo el dato en insumo estructural para la dirección. En este sentido, se reconoce que la explotación sistemática de información mejora la oportunidad y coherencia del monitoreo, especialmente cuando los indicadores están alineados con metas estratégicas y se articulan con procesos formales de toma de decisiones (Córdova-Aponte et al., 2021).</w:t>
      </w:r>
    </w:p>
    <w:p w14:paraId="54621D16" w14:textId="77777777" w:rsidR="00E43B53" w:rsidRPr="00E43B53" w:rsidRDefault="00E43B53" w:rsidP="00E43B53">
      <w:pPr>
        <w:rPr>
          <w:rFonts w:eastAsia="Times New Roman" w:cs="Arial"/>
          <w:szCs w:val="20"/>
          <w:lang w:val="es-EC" w:eastAsia="es-EC"/>
        </w:rPr>
      </w:pPr>
      <w:r w:rsidRPr="00E43B53">
        <w:rPr>
          <w:rFonts w:eastAsia="Times New Roman" w:cs="Arial"/>
          <w:szCs w:val="20"/>
          <w:lang w:val="es-EC" w:eastAsia="es-EC"/>
        </w:rPr>
        <w:t>Desde la perspectiva de la dirección por objetivos, los indicadores dejan de interpretarse únicamente como resultados cerrados y pasan a concebirse como variables dinámicas de desempeño y riesgo. En el ámbito del control interno financiero, se ha señalado que la supervisión adquiere mayor efectividad cuando se apoya en métricas que permiten identificar desviaciones tempranas y proyectar impactos en la gestión de recursos, favoreciendo intervenciones oportunas (Márquez, 2022).</w:t>
      </w:r>
    </w:p>
    <w:p w14:paraId="5302B56D" w14:textId="77777777" w:rsidR="00E43B53" w:rsidRPr="00E43B53" w:rsidRDefault="00E43B53" w:rsidP="00E43B53">
      <w:pPr>
        <w:rPr>
          <w:rFonts w:eastAsia="Times New Roman" w:cs="Arial"/>
          <w:szCs w:val="20"/>
          <w:lang w:val="es-EC" w:eastAsia="es-EC"/>
        </w:rPr>
      </w:pPr>
      <w:r w:rsidRPr="00E43B53">
        <w:rPr>
          <w:rFonts w:eastAsia="Times New Roman" w:cs="Arial"/>
          <w:szCs w:val="20"/>
          <w:lang w:val="es-EC" w:eastAsia="es-EC"/>
        </w:rPr>
        <w:t>El tablero estratégico constituye un instrumento clave en esta arquitectura, ya que traduce la estrategia en métricas observables y facilita el seguimiento integral del desempeño. Su valor se amplifica cuando integra reglas de interpretación, umbrales y señales de alerta que conectan resultados con decisiones de asignación y priorización de recursos (Visa, 2022). Asimismo, la automatización de reportes y la visualización estructurada reducen fricciones entre captura de datos y análisis directivo, mejorando la calidad del control (Cruz Osorio et al., 2022).</w:t>
      </w:r>
    </w:p>
    <w:p w14:paraId="29F6E7AC" w14:textId="77777777" w:rsidR="00E43B53" w:rsidRPr="00E43B53" w:rsidRDefault="00E43B53" w:rsidP="00E43B53">
      <w:pPr>
        <w:rPr>
          <w:rFonts w:eastAsia="Times New Roman" w:cs="Arial"/>
          <w:szCs w:val="20"/>
          <w:lang w:val="es-EC" w:eastAsia="es-EC"/>
        </w:rPr>
      </w:pPr>
      <w:r w:rsidRPr="00E43B53">
        <w:rPr>
          <w:rFonts w:eastAsia="Times New Roman" w:cs="Arial"/>
          <w:szCs w:val="20"/>
          <w:lang w:val="es-EC" w:eastAsia="es-EC"/>
        </w:rPr>
        <w:t>La efectividad del control orientado por datos depende también de la coherencia organizacional entre estructura, competencias y procesos. Investigaciones sobre sistemas de gestión sostienen que el desempeño institucional se incrementa cuando el control se articula con evaluación sistemática y decisiones sustentadas en información verificable (Guzmán, 2022). En el sector público, esta integración refuerza la orientación a resultados cuando la información analítica se incorpora como insumo permanente en la gestión estratégica (</w:t>
      </w:r>
      <w:proofErr w:type="spellStart"/>
      <w:r w:rsidRPr="00E43B53">
        <w:rPr>
          <w:rFonts w:eastAsia="Times New Roman" w:cs="Arial"/>
          <w:szCs w:val="20"/>
          <w:lang w:val="es-EC" w:eastAsia="es-EC"/>
        </w:rPr>
        <w:t>Valcarce</w:t>
      </w:r>
      <w:proofErr w:type="spellEnd"/>
      <w:r w:rsidRPr="00E43B53">
        <w:rPr>
          <w:rFonts w:eastAsia="Times New Roman" w:cs="Arial"/>
          <w:szCs w:val="20"/>
          <w:lang w:val="es-EC" w:eastAsia="es-EC"/>
        </w:rPr>
        <w:t>, 2023).</w:t>
      </w:r>
    </w:p>
    <w:p w14:paraId="0022797F" w14:textId="77777777" w:rsidR="00E43B53" w:rsidRPr="00E43B53" w:rsidRDefault="00E43B53" w:rsidP="00E43B53">
      <w:pPr>
        <w:rPr>
          <w:rFonts w:eastAsia="Times New Roman" w:cs="Arial"/>
          <w:b/>
          <w:bCs/>
          <w:szCs w:val="20"/>
          <w:lang w:val="es-EC" w:eastAsia="es-EC"/>
        </w:rPr>
      </w:pPr>
      <w:r w:rsidRPr="00E43B53">
        <w:rPr>
          <w:rFonts w:eastAsia="Times New Roman" w:cs="Arial"/>
          <w:b/>
          <w:bCs/>
          <w:szCs w:val="20"/>
          <w:lang w:val="es-EC" w:eastAsia="es-EC"/>
        </w:rPr>
        <w:t>Analítica predictiva aplicada al control de gestión y optimización de decisiones</w:t>
      </w:r>
    </w:p>
    <w:p w14:paraId="459B9F9B" w14:textId="77777777" w:rsidR="00E43B53" w:rsidRPr="00E43B53" w:rsidRDefault="00E43B53" w:rsidP="00E43B53">
      <w:pPr>
        <w:rPr>
          <w:rFonts w:eastAsia="Times New Roman" w:cs="Arial"/>
          <w:szCs w:val="20"/>
          <w:lang w:val="es-EC" w:eastAsia="es-EC"/>
        </w:rPr>
      </w:pPr>
      <w:r w:rsidRPr="00E43B53">
        <w:rPr>
          <w:rFonts w:eastAsia="Times New Roman" w:cs="Arial"/>
          <w:szCs w:val="20"/>
          <w:lang w:val="es-EC" w:eastAsia="es-EC"/>
        </w:rPr>
        <w:t xml:space="preserve">En entornos de administración presupuestaria, la incorporación de modelos que estiman la </w:t>
      </w:r>
      <w:r w:rsidRPr="00E43B53">
        <w:rPr>
          <w:rFonts w:eastAsia="Times New Roman" w:cs="Arial"/>
          <w:szCs w:val="20"/>
          <w:lang w:val="es-EC" w:eastAsia="es-EC"/>
        </w:rPr>
        <w:lastRenderedPageBreak/>
        <w:t>probabilidad de desviaciones en partidas específicas facilita ajustes anticipados en programación y ejecución, fortaleciendo la coherencia entre planificación y control sin necesidad de esperar al cierre del periodo fiscal. Este tipo de práctica refleja la evolución del control tradicional hacia un esquema prospectivo apoyado en analítica predictiva.</w:t>
      </w:r>
    </w:p>
    <w:p w14:paraId="7E46C610" w14:textId="77777777" w:rsidR="00E43B53" w:rsidRPr="00E43B53" w:rsidRDefault="00E43B53" w:rsidP="00E43B53">
      <w:pPr>
        <w:rPr>
          <w:rFonts w:eastAsia="Times New Roman" w:cs="Arial"/>
          <w:szCs w:val="20"/>
          <w:lang w:val="es-EC" w:eastAsia="es-EC"/>
        </w:rPr>
      </w:pPr>
      <w:r w:rsidRPr="00E43B53">
        <w:rPr>
          <w:rFonts w:eastAsia="Times New Roman" w:cs="Arial"/>
          <w:szCs w:val="20"/>
          <w:lang w:val="es-EC" w:eastAsia="es-EC"/>
        </w:rPr>
        <w:t>La analítica predictiva aplicada al control de gestión se fundamenta en modelos de pronóstico, clasificación y detección de patrones que permiten estimar resultados futuros y priorizar intervenciones estratégicas. La integración de estos modelos en cuadros de mando digitalizados mejora la oportunidad del monitoreo y amplía la capacidad de análisis en distintos niveles organizacionales (Vega, 2023).</w:t>
      </w:r>
    </w:p>
    <w:p w14:paraId="7C294A59" w14:textId="77777777" w:rsidR="00E43B53" w:rsidRPr="00E43B53" w:rsidRDefault="00E43B53" w:rsidP="00E43B53">
      <w:pPr>
        <w:rPr>
          <w:rFonts w:eastAsia="Times New Roman" w:cs="Arial"/>
          <w:szCs w:val="20"/>
          <w:lang w:val="es-EC" w:eastAsia="es-EC"/>
        </w:rPr>
      </w:pPr>
      <w:r w:rsidRPr="00E43B53">
        <w:rPr>
          <w:rFonts w:eastAsia="Times New Roman" w:cs="Arial"/>
          <w:szCs w:val="20"/>
          <w:lang w:val="es-EC" w:eastAsia="es-EC"/>
        </w:rPr>
        <w:t>El pronóstico de variables críticas, como ventas, demanda o productividad, constituye un componente estructural del control predictivo, ya que posibilita ajustar metas y recursos con base en escenarios estimados. Estudios sobre predicción de ventas demuestran que la aplicación de técnicas de series temporales reduce la incertidumbre y fortalece la planificación operativa cuando se integra formalmente al sistema de control (López &amp; Cadena, 2023).</w:t>
      </w:r>
    </w:p>
    <w:p w14:paraId="57161FF5" w14:textId="77777777" w:rsidR="00E43B53" w:rsidRPr="00E43B53" w:rsidRDefault="00E43B53" w:rsidP="00E43B53">
      <w:pPr>
        <w:rPr>
          <w:rFonts w:eastAsia="Times New Roman" w:cs="Arial"/>
          <w:szCs w:val="20"/>
          <w:lang w:val="es-EC" w:eastAsia="es-EC"/>
        </w:rPr>
      </w:pPr>
      <w:r w:rsidRPr="00E43B53">
        <w:rPr>
          <w:rFonts w:eastAsia="Times New Roman" w:cs="Arial"/>
          <w:szCs w:val="20"/>
          <w:lang w:val="es-EC" w:eastAsia="es-EC"/>
        </w:rPr>
        <w:t>En la gestión del talento humano, la incorporación de indicadores adelantados permite anticipar comportamientos organizacionales relevantes, como rotación o desempeño, facilitando decisiones preventivas y coherentes con objetivos institucionales (Sánchez Ponce et al., 2023). De igual manera, en modelos de mejora continua, la sistematización de información y el análisis predictivo permiten priorizar acciones correctivas y optimizar procesos críticos, incrementando el rendimiento institucional (Loor-Moreira et al., 2023).</w:t>
      </w:r>
    </w:p>
    <w:p w14:paraId="06D4DBF0" w14:textId="77777777" w:rsidR="00E43B53" w:rsidRPr="00E43B53" w:rsidRDefault="00E43B53" w:rsidP="00E43B53">
      <w:pPr>
        <w:rPr>
          <w:rFonts w:eastAsia="Times New Roman" w:cs="Arial"/>
          <w:szCs w:val="20"/>
          <w:lang w:val="es-EC" w:eastAsia="es-EC"/>
        </w:rPr>
      </w:pPr>
      <w:r w:rsidRPr="00E43B53">
        <w:rPr>
          <w:rFonts w:eastAsia="Times New Roman" w:cs="Arial"/>
          <w:szCs w:val="20"/>
          <w:lang w:val="es-EC" w:eastAsia="es-EC"/>
        </w:rPr>
        <w:t>La inteligencia de negocios opera como plataforma habilitadora de este enfoque, ya que traduce grandes volúmenes de información en métricas operables y visualizaciones estratégicas, consolidando condiciones para un control más preciso y consistente (Córdova-Aponte et al., 2021). Experiencias en contextos educativos muestran que los modelos predictivos pueden identificar factores de riesgo y orientar intervenciones tempranas, lógica que resulta transferible a la gestión organizacional en términos de mitigación de desviaciones estratégicas (Cornejo et al., 2023).</w:t>
      </w:r>
    </w:p>
    <w:p w14:paraId="310A1C3D" w14:textId="2F06492D" w:rsidR="005F6F10" w:rsidRPr="00B94167" w:rsidRDefault="00E43B53" w:rsidP="00E43B53">
      <w:pPr>
        <w:rPr>
          <w:rFonts w:eastAsia="Times New Roman" w:cs="Arial"/>
          <w:szCs w:val="20"/>
          <w:lang w:eastAsia="es-EC"/>
        </w:rPr>
      </w:pPr>
      <w:r w:rsidRPr="00E43B53">
        <w:rPr>
          <w:rFonts w:eastAsia="Times New Roman" w:cs="Arial"/>
          <w:szCs w:val="20"/>
          <w:lang w:val="es-EC" w:eastAsia="es-EC"/>
        </w:rPr>
        <w:t>En el ámbito del gasto público, la modelización predictiva permite evaluar probabilidades de cumplimiento y calidad del gasto, apoyando decisiones de planificación y reasignación antes de que se consoliden brechas estructurales (Ponce, 2022). De esta manera, la analítica predictiva se integra de forma orgánica al control de gestión estratégico, reforzando su carácter preventivo y orientándolo hacia la optimización sistemática del desempeño organizacional.</w:t>
      </w:r>
      <w:r w:rsidR="0031634D" w:rsidRPr="0031634D">
        <w:rPr>
          <w:rFonts w:cs="Arial"/>
          <w:szCs w:val="20"/>
        </w:rPr>
        <w:t xml:space="preserve"> </w:t>
      </w:r>
    </w:p>
    <w:p w14:paraId="7AFBD681" w14:textId="7D5F68E1" w:rsidR="00523375" w:rsidRDefault="000F08FC" w:rsidP="005F6F10">
      <w:pPr>
        <w:pStyle w:val="Ttulo1"/>
        <w:spacing w:before="163"/>
        <w:ind w:left="0"/>
        <w:rPr>
          <w:spacing w:val="-2"/>
        </w:rPr>
      </w:pPr>
      <w:r w:rsidRPr="00F76F46">
        <w:t>Materiales</w:t>
      </w:r>
      <w:r w:rsidR="00D828F5" w:rsidRPr="00F76F46">
        <w:rPr>
          <w:spacing w:val="-8"/>
        </w:rPr>
        <w:t xml:space="preserve"> </w:t>
      </w:r>
      <w:r w:rsidRPr="00F76F46">
        <w:t>y</w:t>
      </w:r>
      <w:r w:rsidR="00D828F5" w:rsidRPr="00F76F46">
        <w:rPr>
          <w:spacing w:val="-5"/>
        </w:rPr>
        <w:t xml:space="preserve"> </w:t>
      </w:r>
      <w:r w:rsidRPr="00F76F46">
        <w:rPr>
          <w:spacing w:val="-2"/>
        </w:rPr>
        <w:t>métodos</w:t>
      </w:r>
    </w:p>
    <w:p w14:paraId="10F7F18A" w14:textId="77777777" w:rsidR="00E43B53" w:rsidRPr="00E43B53" w:rsidRDefault="00E43B53" w:rsidP="00E43B53">
      <w:pPr>
        <w:outlineLvl w:val="2"/>
        <w:rPr>
          <w:rFonts w:eastAsia="Times New Roman" w:cs="Arial"/>
          <w:szCs w:val="20"/>
          <w:lang w:eastAsia="es-EC"/>
        </w:rPr>
      </w:pPr>
      <w:r w:rsidRPr="00E43B53">
        <w:rPr>
          <w:rFonts w:eastAsia="Times New Roman" w:cs="Arial"/>
          <w:szCs w:val="20"/>
          <w:lang w:eastAsia="es-EC"/>
        </w:rPr>
        <w:t>Desde una perspectiva epistemológica, esta investigación se inscribe en un enfoque cuantitativo de alcance explicativo, con diseño no experimental y corte longitudinal retrospectivo, orientado a examinar la incidencia de la analítica predictiva en la consolidación del control de gestión estratégico. La unidad de análisis estuvo conformada por sistemas institucionales de seguimiento del desempeño, integrando indicadores financieros, operativos y estratégicos reportados oficialmente por entidades públicas y organismos multilaterales.</w:t>
      </w:r>
    </w:p>
    <w:p w14:paraId="12F9F5CE" w14:textId="77777777" w:rsidR="00E43B53" w:rsidRPr="00E43B53" w:rsidRDefault="00E43B53" w:rsidP="00E43B53">
      <w:pPr>
        <w:outlineLvl w:val="2"/>
        <w:rPr>
          <w:rFonts w:eastAsia="Times New Roman" w:cs="Arial"/>
          <w:szCs w:val="20"/>
          <w:lang w:eastAsia="es-EC"/>
        </w:rPr>
      </w:pPr>
      <w:r w:rsidRPr="00E43B53">
        <w:rPr>
          <w:rFonts w:eastAsia="Times New Roman" w:cs="Arial"/>
          <w:szCs w:val="20"/>
          <w:lang w:eastAsia="es-EC"/>
        </w:rPr>
        <w:t xml:space="preserve">En este marco, la recolección de información se fundamentó en la revisión técnica y sistemática de </w:t>
      </w:r>
      <w:r w:rsidRPr="00E43B53">
        <w:rPr>
          <w:rFonts w:eastAsia="Times New Roman" w:cs="Arial"/>
          <w:szCs w:val="20"/>
          <w:lang w:eastAsia="es-EC"/>
        </w:rPr>
        <w:lastRenderedPageBreak/>
        <w:t>informes emitidos por organismos estatales, instituciones rectoras de planificación y finanzas públicas, entidades de control, bancos de desarrollo y organismos internacionales especializados en gobernanza, transformación digital y gestión del desempeño. De igual manera, se utilizaron bases de datos abiertas y repositorios estadísticos oficiales, garantizando consistencia metodológica, trazabilidad documental y validez externa. La selección de fuentes respondió a criterios de confiabilidad institucional, pertinencia temática y actualización temporal, priorizando información correspondiente al período 2021–2023.</w:t>
      </w:r>
    </w:p>
    <w:p w14:paraId="1A579BEE" w14:textId="77777777" w:rsidR="00E43B53" w:rsidRPr="00E43B53" w:rsidRDefault="00E43B53" w:rsidP="00E43B53">
      <w:pPr>
        <w:outlineLvl w:val="2"/>
        <w:rPr>
          <w:rFonts w:eastAsia="Times New Roman" w:cs="Arial"/>
          <w:szCs w:val="20"/>
          <w:lang w:eastAsia="es-EC"/>
        </w:rPr>
      </w:pPr>
      <w:r w:rsidRPr="00E43B53">
        <w:rPr>
          <w:rFonts w:eastAsia="Times New Roman" w:cs="Arial"/>
          <w:szCs w:val="20"/>
          <w:lang w:eastAsia="es-EC"/>
        </w:rPr>
        <w:t>Posteriormente, se desarrolló un proceso de depuración y estandarización de datos mediante técnicas de limpieza estadística, detección de valores atípicos y normalización de escalas, con el propósito de asegurar comparabilidad interinstitucional y consistencia analítica. En términos operativos, las variables independientes estuvieron asociadas al nivel de madurez en inteligencia de negocios, automatización de tableros estratégicos e incorporación de modelos predictivos; mientras que las variables dependientes correspondieron a indicadores de desempeño estratégico tales como eficiencia presupuestaria, cumplimiento programático y variabilidad en la ejecución institucional.</w:t>
      </w:r>
    </w:p>
    <w:p w14:paraId="2E05C6DD" w14:textId="77777777" w:rsidR="00E43B53" w:rsidRPr="00E43B53" w:rsidRDefault="00E43B53" w:rsidP="00E43B53">
      <w:pPr>
        <w:outlineLvl w:val="2"/>
        <w:rPr>
          <w:rFonts w:eastAsia="Times New Roman" w:cs="Arial"/>
          <w:szCs w:val="20"/>
          <w:lang w:eastAsia="es-EC"/>
        </w:rPr>
      </w:pPr>
      <w:r w:rsidRPr="00E43B53">
        <w:rPr>
          <w:rFonts w:eastAsia="Times New Roman" w:cs="Arial"/>
          <w:szCs w:val="20"/>
          <w:lang w:eastAsia="es-EC"/>
        </w:rPr>
        <w:t>En una primera fase analítica, se efectuó un análisis descriptivo avanzado que incluyó medidas de tendencia central, dispersión, asimetría y curtosis, complementado con coeficientes de variación para evaluar estabilidad relativa de los indicadores. No obstante, considerando la naturaleza multivariada del fenómeno, se incorporaron técnicas de estadística avanzada orientadas a modelar relaciones estructurales y fortalecer la capacidad explicativa del estudio.</w:t>
      </w:r>
    </w:p>
    <w:p w14:paraId="2EAAD81D" w14:textId="77777777" w:rsidR="00E43B53" w:rsidRPr="00E43B53" w:rsidRDefault="00E43B53" w:rsidP="00E43B53">
      <w:pPr>
        <w:outlineLvl w:val="2"/>
        <w:rPr>
          <w:rFonts w:eastAsia="Times New Roman" w:cs="Arial"/>
          <w:szCs w:val="20"/>
          <w:lang w:eastAsia="es-EC"/>
        </w:rPr>
      </w:pPr>
      <w:r w:rsidRPr="00E43B53">
        <w:rPr>
          <w:rFonts w:eastAsia="Times New Roman" w:cs="Arial"/>
          <w:szCs w:val="20"/>
          <w:lang w:eastAsia="es-EC"/>
        </w:rPr>
        <w:t>En consecuencia, se estimó un modelo de regresión LASSO con penalización L1, cuyo propósito fue identificar los predictores con mayor poder explicativo sobre el desempeño estratégico, reduciendo simultáneamente el riesgo de sobreajuste y multicolinealidad. Este procedimiento permitió seleccionar variables relevantes dentro de un conjunto amplio de indicadores institucionales, optimizando la parsimonia del modelo y mejorando su robustez predictiva.</w:t>
      </w:r>
    </w:p>
    <w:p w14:paraId="6B31A37A" w14:textId="77777777" w:rsidR="00E43B53" w:rsidRPr="00E43B53" w:rsidRDefault="00E43B53" w:rsidP="00E43B53">
      <w:pPr>
        <w:outlineLvl w:val="2"/>
        <w:rPr>
          <w:rFonts w:eastAsia="Times New Roman" w:cs="Arial"/>
          <w:szCs w:val="20"/>
          <w:lang w:eastAsia="es-EC"/>
        </w:rPr>
      </w:pPr>
      <w:r w:rsidRPr="00E43B53">
        <w:rPr>
          <w:rFonts w:eastAsia="Times New Roman" w:cs="Arial"/>
          <w:szCs w:val="20"/>
          <w:lang w:eastAsia="es-EC"/>
        </w:rPr>
        <w:t>De manera complementaria, se aplicó un modelo de regresión Ridge con penalización L2, con el objetivo de estabilizar los coeficientes frente a correlaciones elevadas entre variables independientes y contrastar la consistencia de los resultados obtenidos mediante LASSO. La comparación entre ambos enfoques permitió validar la solidez inferencial y garantizar mayor precisión en la estimación de los efectos asociados a la implementación de analítica predictiva en el sistema de control estratégico.</w:t>
      </w:r>
    </w:p>
    <w:p w14:paraId="6A598271" w14:textId="77777777" w:rsidR="00E43B53" w:rsidRPr="00E43B53" w:rsidRDefault="00E43B53" w:rsidP="00E43B53">
      <w:pPr>
        <w:outlineLvl w:val="2"/>
        <w:rPr>
          <w:rFonts w:eastAsia="Times New Roman" w:cs="Arial"/>
          <w:szCs w:val="20"/>
          <w:lang w:eastAsia="es-EC"/>
        </w:rPr>
      </w:pPr>
      <w:r w:rsidRPr="00E43B53">
        <w:rPr>
          <w:rFonts w:eastAsia="Times New Roman" w:cs="Arial"/>
          <w:szCs w:val="20"/>
          <w:lang w:eastAsia="es-EC"/>
        </w:rPr>
        <w:t>Adicionalmente, se empleó el coeficiente de correlación de Spearman para examinar asociaciones monotónicas entre variables ordinales relacionadas con niveles de madurez analítica y desempeño institucional, dado que ciertas dimensiones fueron operacionalizadas mediante escalas clasificatorias derivadas de informes oficiales. La significancia estadística se estableció con un nivel de confianza del 95 %, considerando valores de p inferiores a 0.05 como criterio de aceptación de relaciones estadísticamente significativas.</w:t>
      </w:r>
    </w:p>
    <w:p w14:paraId="2222CF40" w14:textId="06EE2476" w:rsidR="00F25B56" w:rsidRDefault="00E43B53" w:rsidP="00E43B53">
      <w:pPr>
        <w:outlineLvl w:val="2"/>
        <w:rPr>
          <w:rFonts w:eastAsia="Times New Roman" w:cs="Arial"/>
          <w:szCs w:val="20"/>
          <w:lang w:eastAsia="es-EC"/>
        </w:rPr>
      </w:pPr>
      <w:r w:rsidRPr="00E43B53">
        <w:rPr>
          <w:rFonts w:eastAsia="Times New Roman" w:cs="Arial"/>
          <w:szCs w:val="20"/>
          <w:lang w:eastAsia="es-EC"/>
        </w:rPr>
        <w:t xml:space="preserve">Paralelamente, la consistencia interna de los indicadores compuestos utilizados para medir madurez analítica y control estratégico fue evaluada mediante el coeficiente Alfa de Cronbach, exigiendo </w:t>
      </w:r>
      <w:r w:rsidRPr="00E43B53">
        <w:rPr>
          <w:rFonts w:eastAsia="Times New Roman" w:cs="Arial"/>
          <w:szCs w:val="20"/>
          <w:lang w:eastAsia="es-EC"/>
        </w:rPr>
        <w:lastRenderedPageBreak/>
        <w:t>valores superiores a 0.80 como umbral de fiabilidad aceptable. Asimismo, la prueba de Shapiro-Wilk permitió verificar supuestos de normalidad, determinando la pertinencia de técnicas paramétricas o no paramétricas en fases posteriores del análisis.</w:t>
      </w:r>
    </w:p>
    <w:p w14:paraId="5196F938" w14:textId="77777777" w:rsidR="007C1D32" w:rsidRDefault="00F25B56" w:rsidP="007C1D32">
      <w:pPr>
        <w:spacing w:before="163"/>
        <w:rPr>
          <w:rFonts w:eastAsia="Times New Roman" w:cs="Arial"/>
          <w:b/>
          <w:bCs/>
          <w:szCs w:val="20"/>
          <w:lang w:eastAsia="es-EC"/>
        </w:rPr>
      </w:pPr>
      <w:r>
        <w:rPr>
          <w:rFonts w:eastAsia="Times New Roman" w:cs="Arial"/>
          <w:b/>
          <w:bCs/>
          <w:szCs w:val="20"/>
          <w:lang w:eastAsia="es-EC"/>
        </w:rPr>
        <w:t>Resultados y discusión</w:t>
      </w:r>
    </w:p>
    <w:p w14:paraId="6B92B919" w14:textId="77777777" w:rsidR="00E43B53" w:rsidRPr="00E43B53" w:rsidRDefault="00E43B53" w:rsidP="00E43B53">
      <w:pPr>
        <w:rPr>
          <w:rFonts w:eastAsia="Times New Roman" w:cs="Arial"/>
          <w:szCs w:val="20"/>
          <w:lang w:eastAsia="es-EC"/>
        </w:rPr>
      </w:pPr>
      <w:r w:rsidRPr="00E43B53">
        <w:rPr>
          <w:rFonts w:eastAsia="Times New Roman" w:cs="Arial"/>
          <w:szCs w:val="20"/>
          <w:lang w:eastAsia="es-EC"/>
        </w:rPr>
        <w:t>Los análisis descriptivos y multivariados realizados a partir de los datos oficiales de madurez digital y desempeño institucional revelan patrones que sustentan la hipótesis de que los habilitadores digitales, al incrementar la disponibilidad de datos estructurados, fortalecen el control de gestión estratégico mediante el uso de analítica predictiva. Esta observación es consistente con lo planteado por Moreno-León et al. (2022), quienes señalan que la expansión de servicios digitales incrementa la calidad y oportunidad de los datos disponibles para análisis (Moreno-León et al., 2022).</w:t>
      </w:r>
    </w:p>
    <w:p w14:paraId="76D3D436" w14:textId="77777777" w:rsidR="00E43B53" w:rsidRPr="00E43B53" w:rsidRDefault="00E43B53" w:rsidP="00E43B53">
      <w:pPr>
        <w:rPr>
          <w:rFonts w:eastAsia="Times New Roman" w:cs="Arial"/>
          <w:szCs w:val="20"/>
          <w:lang w:eastAsia="es-EC"/>
        </w:rPr>
      </w:pPr>
      <w:r w:rsidRPr="00E43B53">
        <w:rPr>
          <w:rFonts w:eastAsia="Times New Roman" w:cs="Arial"/>
          <w:szCs w:val="20"/>
          <w:lang w:eastAsia="es-EC"/>
        </w:rPr>
        <w:t xml:space="preserve">En efecto, la </w:t>
      </w:r>
      <w:r w:rsidRPr="00E43B53">
        <w:rPr>
          <w:rFonts w:eastAsia="Times New Roman" w:cs="Arial"/>
          <w:bCs/>
          <w:szCs w:val="20"/>
          <w:lang w:eastAsia="es-EC"/>
        </w:rPr>
        <w:t>Tabla 1</w:t>
      </w:r>
      <w:r w:rsidRPr="00E43B53">
        <w:rPr>
          <w:rFonts w:eastAsia="Times New Roman" w:cs="Arial"/>
          <w:szCs w:val="20"/>
          <w:lang w:eastAsia="es-EC"/>
        </w:rPr>
        <w:t xml:space="preserve"> muestra la evolución de los subíndices del </w:t>
      </w:r>
      <w:proofErr w:type="spellStart"/>
      <w:r w:rsidRPr="00E43B53">
        <w:rPr>
          <w:rFonts w:eastAsia="Times New Roman" w:cs="Arial"/>
          <w:szCs w:val="20"/>
          <w:lang w:eastAsia="es-EC"/>
        </w:rPr>
        <w:t>GovTech</w:t>
      </w:r>
      <w:proofErr w:type="spellEnd"/>
      <w:r w:rsidRPr="00E43B53">
        <w:rPr>
          <w:rFonts w:eastAsia="Times New Roman" w:cs="Arial"/>
          <w:szCs w:val="20"/>
          <w:lang w:eastAsia="es-EC"/>
        </w:rPr>
        <w:t xml:space="preserve"> </w:t>
      </w:r>
      <w:proofErr w:type="spellStart"/>
      <w:r w:rsidRPr="00E43B53">
        <w:rPr>
          <w:rFonts w:eastAsia="Times New Roman" w:cs="Arial"/>
          <w:szCs w:val="20"/>
          <w:lang w:eastAsia="es-EC"/>
        </w:rPr>
        <w:t>Maturity</w:t>
      </w:r>
      <w:proofErr w:type="spellEnd"/>
      <w:r w:rsidRPr="00E43B53">
        <w:rPr>
          <w:rFonts w:eastAsia="Times New Roman" w:cs="Arial"/>
          <w:szCs w:val="20"/>
          <w:lang w:eastAsia="es-EC"/>
        </w:rPr>
        <w:t xml:space="preserve"> </w:t>
      </w:r>
      <w:proofErr w:type="spellStart"/>
      <w:r w:rsidRPr="00E43B53">
        <w:rPr>
          <w:rFonts w:eastAsia="Times New Roman" w:cs="Arial"/>
          <w:szCs w:val="20"/>
          <w:lang w:eastAsia="es-EC"/>
        </w:rPr>
        <w:t>Index</w:t>
      </w:r>
      <w:proofErr w:type="spellEnd"/>
      <w:r w:rsidRPr="00E43B53">
        <w:rPr>
          <w:rFonts w:eastAsia="Times New Roman" w:cs="Arial"/>
          <w:szCs w:val="20"/>
          <w:lang w:eastAsia="es-EC"/>
        </w:rPr>
        <w:t xml:space="preserve"> (GTMI) para Ecuador, comparando los valores de la referencia previa con los de 2022. Este patrón implica una mejora significativa en la capacidad institucional para generar, procesar y utilizar datos digitales, condiciones necesarias para activar procesos predictivos dentro del control de gestión.</w:t>
      </w:r>
    </w:p>
    <w:p w14:paraId="037A4139" w14:textId="77777777" w:rsidR="00E43B53" w:rsidRDefault="00E43B53" w:rsidP="00E43B53">
      <w:pPr>
        <w:rPr>
          <w:rFonts w:eastAsia="Times New Roman" w:cs="Arial"/>
          <w:b/>
          <w:bCs/>
          <w:szCs w:val="20"/>
          <w:lang w:eastAsia="es-EC"/>
        </w:rPr>
      </w:pPr>
      <w:r w:rsidRPr="00E43B53">
        <w:rPr>
          <w:rFonts w:eastAsia="Times New Roman" w:cs="Arial"/>
          <w:b/>
          <w:bCs/>
          <w:szCs w:val="20"/>
          <w:lang w:eastAsia="es-EC"/>
        </w:rPr>
        <w:t>Tabla 1</w:t>
      </w:r>
    </w:p>
    <w:p w14:paraId="37811D9E" w14:textId="38E34FD4" w:rsidR="00E43B53" w:rsidRPr="00E43B53" w:rsidRDefault="00E43B53" w:rsidP="00E43B53">
      <w:pPr>
        <w:rPr>
          <w:rFonts w:eastAsia="Times New Roman" w:cs="Arial"/>
          <w:szCs w:val="20"/>
          <w:lang w:eastAsia="es-EC"/>
        </w:rPr>
      </w:pPr>
      <w:r w:rsidRPr="00E43B53">
        <w:rPr>
          <w:rFonts w:eastAsia="Times New Roman" w:cs="Arial"/>
          <w:szCs w:val="20"/>
          <w:lang w:eastAsia="es-EC"/>
        </w:rPr>
        <w:t xml:space="preserve">Evolución de madurez </w:t>
      </w:r>
      <w:proofErr w:type="spellStart"/>
      <w:r w:rsidRPr="00E43B53">
        <w:rPr>
          <w:rFonts w:eastAsia="Times New Roman" w:cs="Arial"/>
          <w:szCs w:val="20"/>
          <w:lang w:eastAsia="es-EC"/>
        </w:rPr>
        <w:t>GovTech</w:t>
      </w:r>
      <w:proofErr w:type="spellEnd"/>
      <w:r w:rsidRPr="00E43B53">
        <w:rPr>
          <w:rFonts w:eastAsia="Times New Roman" w:cs="Arial"/>
          <w:szCs w:val="20"/>
          <w:lang w:eastAsia="es-EC"/>
        </w:rPr>
        <w:t xml:space="preserve"> de Ecuador por subíndices (referencia previa vs. 2022)</w:t>
      </w:r>
    </w:p>
    <w:tbl>
      <w:tblPr>
        <w:tblW w:w="8696" w:type="dxa"/>
        <w:jc w:val="center"/>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1951"/>
        <w:gridCol w:w="2822"/>
        <w:gridCol w:w="903"/>
        <w:gridCol w:w="3020"/>
      </w:tblGrid>
      <w:tr w:rsidR="00E43B53" w:rsidRPr="00E43B53" w14:paraId="77D3BF31" w14:textId="77777777" w:rsidTr="00E43B53">
        <w:trPr>
          <w:trHeight w:val="234"/>
          <w:tblHeader/>
          <w:tblCellSpacing w:w="15" w:type="dxa"/>
          <w:jc w:val="center"/>
        </w:trPr>
        <w:tc>
          <w:tcPr>
            <w:tcW w:w="1906" w:type="dxa"/>
            <w:tcBorders>
              <w:top w:val="single" w:sz="4" w:space="0" w:color="auto"/>
            </w:tcBorders>
            <w:vAlign w:val="center"/>
            <w:hideMark/>
          </w:tcPr>
          <w:p w14:paraId="6F5A15EE" w14:textId="77777777" w:rsidR="00E43B53" w:rsidRPr="00E43B53" w:rsidRDefault="00E43B53" w:rsidP="00E43B53">
            <w:pPr>
              <w:spacing w:after="0"/>
              <w:jc w:val="center"/>
              <w:rPr>
                <w:rFonts w:eastAsia="Times New Roman" w:cs="Arial"/>
                <w:b/>
                <w:bCs/>
                <w:szCs w:val="20"/>
                <w:lang w:eastAsia="es-EC"/>
              </w:rPr>
            </w:pPr>
            <w:r w:rsidRPr="00E43B53">
              <w:rPr>
                <w:rFonts w:eastAsia="Times New Roman" w:cs="Arial"/>
                <w:b/>
                <w:bCs/>
                <w:szCs w:val="20"/>
                <w:lang w:eastAsia="es-EC"/>
              </w:rPr>
              <w:t>Subíndice</w:t>
            </w:r>
          </w:p>
        </w:tc>
        <w:tc>
          <w:tcPr>
            <w:tcW w:w="0" w:type="auto"/>
            <w:tcBorders>
              <w:top w:val="single" w:sz="4" w:space="0" w:color="auto"/>
            </w:tcBorders>
            <w:vAlign w:val="center"/>
            <w:hideMark/>
          </w:tcPr>
          <w:p w14:paraId="6E083C00" w14:textId="77777777" w:rsidR="00E43B53" w:rsidRPr="00E43B53" w:rsidRDefault="00E43B53" w:rsidP="00E43B53">
            <w:pPr>
              <w:spacing w:after="0"/>
              <w:jc w:val="center"/>
              <w:rPr>
                <w:rFonts w:eastAsia="Times New Roman" w:cs="Arial"/>
                <w:b/>
                <w:bCs/>
                <w:szCs w:val="20"/>
                <w:lang w:eastAsia="es-EC"/>
              </w:rPr>
            </w:pPr>
            <w:r w:rsidRPr="00E43B53">
              <w:rPr>
                <w:rFonts w:eastAsia="Times New Roman" w:cs="Arial"/>
                <w:b/>
                <w:bCs/>
                <w:szCs w:val="20"/>
                <w:lang w:eastAsia="es-EC"/>
              </w:rPr>
              <w:t>Referencia previa</w:t>
            </w:r>
          </w:p>
        </w:tc>
        <w:tc>
          <w:tcPr>
            <w:tcW w:w="0" w:type="auto"/>
            <w:tcBorders>
              <w:top w:val="single" w:sz="4" w:space="0" w:color="auto"/>
            </w:tcBorders>
            <w:vAlign w:val="center"/>
            <w:hideMark/>
          </w:tcPr>
          <w:p w14:paraId="4CF2C59C" w14:textId="77777777" w:rsidR="00E43B53" w:rsidRPr="00E43B53" w:rsidRDefault="00E43B53" w:rsidP="00E43B53">
            <w:pPr>
              <w:spacing w:after="0"/>
              <w:jc w:val="center"/>
              <w:rPr>
                <w:rFonts w:eastAsia="Times New Roman" w:cs="Arial"/>
                <w:b/>
                <w:bCs/>
                <w:szCs w:val="20"/>
                <w:lang w:eastAsia="es-EC"/>
              </w:rPr>
            </w:pPr>
            <w:r w:rsidRPr="00E43B53">
              <w:rPr>
                <w:rFonts w:eastAsia="Times New Roman" w:cs="Arial"/>
                <w:b/>
                <w:bCs/>
                <w:szCs w:val="20"/>
                <w:lang w:eastAsia="es-EC"/>
              </w:rPr>
              <w:t>2022</w:t>
            </w:r>
          </w:p>
        </w:tc>
        <w:tc>
          <w:tcPr>
            <w:tcW w:w="0" w:type="auto"/>
            <w:tcBorders>
              <w:top w:val="single" w:sz="4" w:space="0" w:color="auto"/>
            </w:tcBorders>
            <w:vAlign w:val="center"/>
            <w:hideMark/>
          </w:tcPr>
          <w:p w14:paraId="1893C405" w14:textId="77777777" w:rsidR="00E43B53" w:rsidRPr="00E43B53" w:rsidRDefault="00E43B53" w:rsidP="00E43B53">
            <w:pPr>
              <w:spacing w:after="0"/>
              <w:jc w:val="center"/>
              <w:rPr>
                <w:rFonts w:eastAsia="Times New Roman" w:cs="Arial"/>
                <w:b/>
                <w:bCs/>
                <w:szCs w:val="20"/>
                <w:lang w:eastAsia="es-EC"/>
              </w:rPr>
            </w:pPr>
            <w:r w:rsidRPr="00E43B53">
              <w:rPr>
                <w:rFonts w:eastAsia="Times New Roman" w:cs="Arial"/>
                <w:b/>
                <w:bCs/>
                <w:szCs w:val="20"/>
                <w:lang w:eastAsia="es-EC"/>
              </w:rPr>
              <w:t>Variación absoluta</w:t>
            </w:r>
          </w:p>
        </w:tc>
      </w:tr>
      <w:tr w:rsidR="00E43B53" w:rsidRPr="00E43B53" w14:paraId="35DC98CC" w14:textId="77777777" w:rsidTr="00E43B53">
        <w:trPr>
          <w:trHeight w:val="234"/>
          <w:tblCellSpacing w:w="15" w:type="dxa"/>
          <w:jc w:val="center"/>
        </w:trPr>
        <w:tc>
          <w:tcPr>
            <w:tcW w:w="1906" w:type="dxa"/>
            <w:tcBorders>
              <w:top w:val="single" w:sz="4" w:space="0" w:color="auto"/>
            </w:tcBorders>
            <w:vAlign w:val="center"/>
            <w:hideMark/>
          </w:tcPr>
          <w:p w14:paraId="115AB0AB" w14:textId="77777777" w:rsidR="00E43B53" w:rsidRPr="00E43B53" w:rsidRDefault="00E43B53" w:rsidP="00E43B53">
            <w:pPr>
              <w:spacing w:after="0"/>
              <w:jc w:val="center"/>
              <w:rPr>
                <w:rFonts w:eastAsia="Times New Roman" w:cs="Arial"/>
                <w:szCs w:val="20"/>
                <w:lang w:eastAsia="es-EC"/>
              </w:rPr>
            </w:pPr>
            <w:r w:rsidRPr="00E43B53">
              <w:rPr>
                <w:rFonts w:eastAsia="Times New Roman" w:cs="Arial"/>
                <w:szCs w:val="20"/>
                <w:lang w:eastAsia="es-EC"/>
              </w:rPr>
              <w:t>GTMI</w:t>
            </w:r>
          </w:p>
        </w:tc>
        <w:tc>
          <w:tcPr>
            <w:tcW w:w="0" w:type="auto"/>
            <w:tcBorders>
              <w:top w:val="single" w:sz="4" w:space="0" w:color="auto"/>
            </w:tcBorders>
            <w:vAlign w:val="center"/>
            <w:hideMark/>
          </w:tcPr>
          <w:p w14:paraId="5F3838F5" w14:textId="77777777" w:rsidR="00E43B53" w:rsidRPr="00E43B53" w:rsidRDefault="00E43B53" w:rsidP="00E43B53">
            <w:pPr>
              <w:spacing w:after="0"/>
              <w:jc w:val="center"/>
              <w:rPr>
                <w:rFonts w:eastAsia="Times New Roman" w:cs="Arial"/>
                <w:szCs w:val="20"/>
                <w:lang w:eastAsia="es-EC"/>
              </w:rPr>
            </w:pPr>
            <w:r w:rsidRPr="00E43B53">
              <w:rPr>
                <w:rFonts w:eastAsia="Times New Roman" w:cs="Arial"/>
                <w:szCs w:val="20"/>
                <w:lang w:eastAsia="es-EC"/>
              </w:rPr>
              <w:t>0.552</w:t>
            </w:r>
          </w:p>
        </w:tc>
        <w:tc>
          <w:tcPr>
            <w:tcW w:w="0" w:type="auto"/>
            <w:tcBorders>
              <w:top w:val="single" w:sz="4" w:space="0" w:color="auto"/>
            </w:tcBorders>
            <w:vAlign w:val="center"/>
            <w:hideMark/>
          </w:tcPr>
          <w:p w14:paraId="0AEDE89F" w14:textId="77777777" w:rsidR="00E43B53" w:rsidRPr="00E43B53" w:rsidRDefault="00E43B53" w:rsidP="00E43B53">
            <w:pPr>
              <w:spacing w:after="0"/>
              <w:jc w:val="center"/>
              <w:rPr>
                <w:rFonts w:eastAsia="Times New Roman" w:cs="Arial"/>
                <w:szCs w:val="20"/>
                <w:lang w:eastAsia="es-EC"/>
              </w:rPr>
            </w:pPr>
            <w:r w:rsidRPr="00E43B53">
              <w:rPr>
                <w:rFonts w:eastAsia="Times New Roman" w:cs="Arial"/>
                <w:szCs w:val="20"/>
                <w:lang w:eastAsia="es-EC"/>
              </w:rPr>
              <w:t>0.863</w:t>
            </w:r>
          </w:p>
        </w:tc>
        <w:tc>
          <w:tcPr>
            <w:tcW w:w="0" w:type="auto"/>
            <w:tcBorders>
              <w:top w:val="single" w:sz="4" w:space="0" w:color="auto"/>
            </w:tcBorders>
            <w:vAlign w:val="center"/>
            <w:hideMark/>
          </w:tcPr>
          <w:p w14:paraId="6401D887" w14:textId="77777777" w:rsidR="00E43B53" w:rsidRPr="00E43B53" w:rsidRDefault="00E43B53" w:rsidP="00E43B53">
            <w:pPr>
              <w:spacing w:after="0"/>
              <w:jc w:val="center"/>
              <w:rPr>
                <w:rFonts w:eastAsia="Times New Roman" w:cs="Arial"/>
                <w:szCs w:val="20"/>
                <w:lang w:eastAsia="es-EC"/>
              </w:rPr>
            </w:pPr>
            <w:r w:rsidRPr="00E43B53">
              <w:rPr>
                <w:rFonts w:eastAsia="Times New Roman" w:cs="Arial"/>
                <w:szCs w:val="20"/>
                <w:lang w:eastAsia="es-EC"/>
              </w:rPr>
              <w:t>0.311</w:t>
            </w:r>
          </w:p>
        </w:tc>
      </w:tr>
      <w:tr w:rsidR="00E43B53" w:rsidRPr="00E43B53" w14:paraId="4D22C84D" w14:textId="77777777" w:rsidTr="00E43B53">
        <w:trPr>
          <w:trHeight w:val="247"/>
          <w:tblCellSpacing w:w="15" w:type="dxa"/>
          <w:jc w:val="center"/>
        </w:trPr>
        <w:tc>
          <w:tcPr>
            <w:tcW w:w="1906" w:type="dxa"/>
            <w:vAlign w:val="center"/>
            <w:hideMark/>
          </w:tcPr>
          <w:p w14:paraId="6ADE9735" w14:textId="77777777" w:rsidR="00E43B53" w:rsidRPr="00E43B53" w:rsidRDefault="00E43B53" w:rsidP="00E43B53">
            <w:pPr>
              <w:spacing w:after="0"/>
              <w:jc w:val="center"/>
              <w:rPr>
                <w:rFonts w:eastAsia="Times New Roman" w:cs="Arial"/>
                <w:szCs w:val="20"/>
                <w:lang w:eastAsia="es-EC"/>
              </w:rPr>
            </w:pPr>
            <w:r w:rsidRPr="00E43B53">
              <w:rPr>
                <w:rFonts w:eastAsia="Times New Roman" w:cs="Arial"/>
                <w:szCs w:val="20"/>
                <w:lang w:eastAsia="es-EC"/>
              </w:rPr>
              <w:t>CGSI</w:t>
            </w:r>
          </w:p>
        </w:tc>
        <w:tc>
          <w:tcPr>
            <w:tcW w:w="0" w:type="auto"/>
            <w:vAlign w:val="center"/>
            <w:hideMark/>
          </w:tcPr>
          <w:p w14:paraId="785BC8EE" w14:textId="77777777" w:rsidR="00E43B53" w:rsidRPr="00E43B53" w:rsidRDefault="00E43B53" w:rsidP="00E43B53">
            <w:pPr>
              <w:spacing w:after="0"/>
              <w:jc w:val="center"/>
              <w:rPr>
                <w:rFonts w:eastAsia="Times New Roman" w:cs="Arial"/>
                <w:szCs w:val="20"/>
                <w:lang w:eastAsia="es-EC"/>
              </w:rPr>
            </w:pPr>
            <w:r w:rsidRPr="00E43B53">
              <w:rPr>
                <w:rFonts w:eastAsia="Times New Roman" w:cs="Arial"/>
                <w:szCs w:val="20"/>
                <w:lang w:eastAsia="es-EC"/>
              </w:rPr>
              <w:t>0.575</w:t>
            </w:r>
          </w:p>
        </w:tc>
        <w:tc>
          <w:tcPr>
            <w:tcW w:w="0" w:type="auto"/>
            <w:vAlign w:val="center"/>
            <w:hideMark/>
          </w:tcPr>
          <w:p w14:paraId="74385C40" w14:textId="77777777" w:rsidR="00E43B53" w:rsidRPr="00E43B53" w:rsidRDefault="00E43B53" w:rsidP="00E43B53">
            <w:pPr>
              <w:spacing w:after="0"/>
              <w:jc w:val="center"/>
              <w:rPr>
                <w:rFonts w:eastAsia="Times New Roman" w:cs="Arial"/>
                <w:szCs w:val="20"/>
                <w:lang w:eastAsia="es-EC"/>
              </w:rPr>
            </w:pPr>
            <w:r w:rsidRPr="00E43B53">
              <w:rPr>
                <w:rFonts w:eastAsia="Times New Roman" w:cs="Arial"/>
                <w:szCs w:val="20"/>
                <w:lang w:eastAsia="es-EC"/>
              </w:rPr>
              <w:t>0.870</w:t>
            </w:r>
          </w:p>
        </w:tc>
        <w:tc>
          <w:tcPr>
            <w:tcW w:w="0" w:type="auto"/>
            <w:vAlign w:val="center"/>
            <w:hideMark/>
          </w:tcPr>
          <w:p w14:paraId="313804F4" w14:textId="77777777" w:rsidR="00E43B53" w:rsidRPr="00E43B53" w:rsidRDefault="00E43B53" w:rsidP="00E43B53">
            <w:pPr>
              <w:spacing w:after="0"/>
              <w:jc w:val="center"/>
              <w:rPr>
                <w:rFonts w:eastAsia="Times New Roman" w:cs="Arial"/>
                <w:szCs w:val="20"/>
                <w:lang w:eastAsia="es-EC"/>
              </w:rPr>
            </w:pPr>
            <w:r w:rsidRPr="00E43B53">
              <w:rPr>
                <w:rFonts w:eastAsia="Times New Roman" w:cs="Arial"/>
                <w:szCs w:val="20"/>
                <w:lang w:eastAsia="es-EC"/>
              </w:rPr>
              <w:t>0.295</w:t>
            </w:r>
          </w:p>
        </w:tc>
      </w:tr>
      <w:tr w:rsidR="00E43B53" w:rsidRPr="00E43B53" w14:paraId="1E62E492" w14:textId="77777777" w:rsidTr="00E43B53">
        <w:trPr>
          <w:trHeight w:val="234"/>
          <w:tblCellSpacing w:w="15" w:type="dxa"/>
          <w:jc w:val="center"/>
        </w:trPr>
        <w:tc>
          <w:tcPr>
            <w:tcW w:w="1906" w:type="dxa"/>
            <w:vAlign w:val="center"/>
            <w:hideMark/>
          </w:tcPr>
          <w:p w14:paraId="4A6B0CA3" w14:textId="77777777" w:rsidR="00E43B53" w:rsidRPr="00E43B53" w:rsidRDefault="00E43B53" w:rsidP="00E43B53">
            <w:pPr>
              <w:spacing w:after="0"/>
              <w:jc w:val="center"/>
              <w:rPr>
                <w:rFonts w:eastAsia="Times New Roman" w:cs="Arial"/>
                <w:szCs w:val="20"/>
                <w:lang w:eastAsia="es-EC"/>
              </w:rPr>
            </w:pPr>
            <w:r w:rsidRPr="00E43B53">
              <w:rPr>
                <w:rFonts w:eastAsia="Times New Roman" w:cs="Arial"/>
                <w:szCs w:val="20"/>
                <w:lang w:eastAsia="es-EC"/>
              </w:rPr>
              <w:t>PSDI</w:t>
            </w:r>
          </w:p>
        </w:tc>
        <w:tc>
          <w:tcPr>
            <w:tcW w:w="0" w:type="auto"/>
            <w:vAlign w:val="center"/>
            <w:hideMark/>
          </w:tcPr>
          <w:p w14:paraId="07D09AD1" w14:textId="77777777" w:rsidR="00E43B53" w:rsidRPr="00E43B53" w:rsidRDefault="00E43B53" w:rsidP="00E43B53">
            <w:pPr>
              <w:spacing w:after="0"/>
              <w:jc w:val="center"/>
              <w:rPr>
                <w:rFonts w:eastAsia="Times New Roman" w:cs="Arial"/>
                <w:szCs w:val="20"/>
                <w:lang w:eastAsia="es-EC"/>
              </w:rPr>
            </w:pPr>
            <w:r w:rsidRPr="00E43B53">
              <w:rPr>
                <w:rFonts w:eastAsia="Times New Roman" w:cs="Arial"/>
                <w:szCs w:val="20"/>
                <w:lang w:eastAsia="es-EC"/>
              </w:rPr>
              <w:t>0.649</w:t>
            </w:r>
          </w:p>
        </w:tc>
        <w:tc>
          <w:tcPr>
            <w:tcW w:w="0" w:type="auto"/>
            <w:vAlign w:val="center"/>
            <w:hideMark/>
          </w:tcPr>
          <w:p w14:paraId="68CFEFFB" w14:textId="77777777" w:rsidR="00E43B53" w:rsidRPr="00E43B53" w:rsidRDefault="00E43B53" w:rsidP="00E43B53">
            <w:pPr>
              <w:spacing w:after="0"/>
              <w:jc w:val="center"/>
              <w:rPr>
                <w:rFonts w:eastAsia="Times New Roman" w:cs="Arial"/>
                <w:szCs w:val="20"/>
                <w:lang w:eastAsia="es-EC"/>
              </w:rPr>
            </w:pPr>
            <w:r w:rsidRPr="00E43B53">
              <w:rPr>
                <w:rFonts w:eastAsia="Times New Roman" w:cs="Arial"/>
                <w:szCs w:val="20"/>
                <w:lang w:eastAsia="es-EC"/>
              </w:rPr>
              <w:t>0.924</w:t>
            </w:r>
          </w:p>
        </w:tc>
        <w:tc>
          <w:tcPr>
            <w:tcW w:w="0" w:type="auto"/>
            <w:vAlign w:val="center"/>
            <w:hideMark/>
          </w:tcPr>
          <w:p w14:paraId="0C3668E6" w14:textId="77777777" w:rsidR="00E43B53" w:rsidRPr="00E43B53" w:rsidRDefault="00E43B53" w:rsidP="00E43B53">
            <w:pPr>
              <w:spacing w:after="0"/>
              <w:jc w:val="center"/>
              <w:rPr>
                <w:rFonts w:eastAsia="Times New Roman" w:cs="Arial"/>
                <w:szCs w:val="20"/>
                <w:lang w:eastAsia="es-EC"/>
              </w:rPr>
            </w:pPr>
            <w:r w:rsidRPr="00E43B53">
              <w:rPr>
                <w:rFonts w:eastAsia="Times New Roman" w:cs="Arial"/>
                <w:szCs w:val="20"/>
                <w:lang w:eastAsia="es-EC"/>
              </w:rPr>
              <w:t>0.275</w:t>
            </w:r>
          </w:p>
        </w:tc>
      </w:tr>
      <w:tr w:rsidR="00E43B53" w:rsidRPr="00E43B53" w14:paraId="4BC8629E" w14:textId="77777777" w:rsidTr="00E43B53">
        <w:trPr>
          <w:trHeight w:val="234"/>
          <w:tblCellSpacing w:w="15" w:type="dxa"/>
          <w:jc w:val="center"/>
        </w:trPr>
        <w:tc>
          <w:tcPr>
            <w:tcW w:w="1906" w:type="dxa"/>
            <w:vAlign w:val="center"/>
            <w:hideMark/>
          </w:tcPr>
          <w:p w14:paraId="52E7848A" w14:textId="77777777" w:rsidR="00E43B53" w:rsidRPr="00E43B53" w:rsidRDefault="00E43B53" w:rsidP="00E43B53">
            <w:pPr>
              <w:spacing w:after="0"/>
              <w:jc w:val="center"/>
              <w:rPr>
                <w:rFonts w:eastAsia="Times New Roman" w:cs="Arial"/>
                <w:szCs w:val="20"/>
                <w:lang w:eastAsia="es-EC"/>
              </w:rPr>
            </w:pPr>
            <w:r w:rsidRPr="00E43B53">
              <w:rPr>
                <w:rFonts w:eastAsia="Times New Roman" w:cs="Arial"/>
                <w:szCs w:val="20"/>
                <w:lang w:eastAsia="es-EC"/>
              </w:rPr>
              <w:t>DCEI</w:t>
            </w:r>
          </w:p>
        </w:tc>
        <w:tc>
          <w:tcPr>
            <w:tcW w:w="0" w:type="auto"/>
            <w:vAlign w:val="center"/>
            <w:hideMark/>
          </w:tcPr>
          <w:p w14:paraId="16D47143" w14:textId="77777777" w:rsidR="00E43B53" w:rsidRPr="00E43B53" w:rsidRDefault="00E43B53" w:rsidP="00E43B53">
            <w:pPr>
              <w:spacing w:after="0"/>
              <w:jc w:val="center"/>
              <w:rPr>
                <w:rFonts w:eastAsia="Times New Roman" w:cs="Arial"/>
                <w:szCs w:val="20"/>
                <w:lang w:eastAsia="es-EC"/>
              </w:rPr>
            </w:pPr>
            <w:r w:rsidRPr="00E43B53">
              <w:rPr>
                <w:rFonts w:eastAsia="Times New Roman" w:cs="Arial"/>
                <w:szCs w:val="20"/>
                <w:lang w:eastAsia="es-EC"/>
              </w:rPr>
              <w:t>0.449</w:t>
            </w:r>
          </w:p>
        </w:tc>
        <w:tc>
          <w:tcPr>
            <w:tcW w:w="0" w:type="auto"/>
            <w:vAlign w:val="center"/>
            <w:hideMark/>
          </w:tcPr>
          <w:p w14:paraId="6F09C39F" w14:textId="77777777" w:rsidR="00E43B53" w:rsidRPr="00E43B53" w:rsidRDefault="00E43B53" w:rsidP="00E43B53">
            <w:pPr>
              <w:spacing w:after="0"/>
              <w:jc w:val="center"/>
              <w:rPr>
                <w:rFonts w:eastAsia="Times New Roman" w:cs="Arial"/>
                <w:szCs w:val="20"/>
                <w:lang w:eastAsia="es-EC"/>
              </w:rPr>
            </w:pPr>
            <w:r w:rsidRPr="00E43B53">
              <w:rPr>
                <w:rFonts w:eastAsia="Times New Roman" w:cs="Arial"/>
                <w:szCs w:val="20"/>
                <w:lang w:eastAsia="es-EC"/>
              </w:rPr>
              <w:t>0.912</w:t>
            </w:r>
          </w:p>
        </w:tc>
        <w:tc>
          <w:tcPr>
            <w:tcW w:w="0" w:type="auto"/>
            <w:vAlign w:val="center"/>
            <w:hideMark/>
          </w:tcPr>
          <w:p w14:paraId="64A29203" w14:textId="77777777" w:rsidR="00E43B53" w:rsidRPr="00E43B53" w:rsidRDefault="00E43B53" w:rsidP="00E43B53">
            <w:pPr>
              <w:spacing w:after="0"/>
              <w:jc w:val="center"/>
              <w:rPr>
                <w:rFonts w:eastAsia="Times New Roman" w:cs="Arial"/>
                <w:szCs w:val="20"/>
                <w:lang w:eastAsia="es-EC"/>
              </w:rPr>
            </w:pPr>
            <w:r w:rsidRPr="00E43B53">
              <w:rPr>
                <w:rFonts w:eastAsia="Times New Roman" w:cs="Arial"/>
                <w:szCs w:val="20"/>
                <w:lang w:eastAsia="es-EC"/>
              </w:rPr>
              <w:t>0.463</w:t>
            </w:r>
          </w:p>
        </w:tc>
      </w:tr>
      <w:tr w:rsidR="00E43B53" w:rsidRPr="00E43B53" w14:paraId="47BFFCBF" w14:textId="77777777" w:rsidTr="00E43B53">
        <w:trPr>
          <w:trHeight w:val="247"/>
          <w:tblCellSpacing w:w="15" w:type="dxa"/>
          <w:jc w:val="center"/>
        </w:trPr>
        <w:tc>
          <w:tcPr>
            <w:tcW w:w="1906" w:type="dxa"/>
            <w:vAlign w:val="center"/>
            <w:hideMark/>
          </w:tcPr>
          <w:p w14:paraId="617C25F5" w14:textId="77777777" w:rsidR="00E43B53" w:rsidRPr="00E43B53" w:rsidRDefault="00E43B53" w:rsidP="00E43B53">
            <w:pPr>
              <w:spacing w:after="0"/>
              <w:jc w:val="center"/>
              <w:rPr>
                <w:rFonts w:eastAsia="Times New Roman" w:cs="Arial"/>
                <w:szCs w:val="20"/>
                <w:lang w:eastAsia="es-EC"/>
              </w:rPr>
            </w:pPr>
            <w:r w:rsidRPr="00E43B53">
              <w:rPr>
                <w:rFonts w:eastAsia="Times New Roman" w:cs="Arial"/>
                <w:szCs w:val="20"/>
                <w:lang w:eastAsia="es-EC"/>
              </w:rPr>
              <w:t>GTEI</w:t>
            </w:r>
          </w:p>
        </w:tc>
        <w:tc>
          <w:tcPr>
            <w:tcW w:w="0" w:type="auto"/>
            <w:vAlign w:val="center"/>
            <w:hideMark/>
          </w:tcPr>
          <w:p w14:paraId="72C90AAF" w14:textId="77777777" w:rsidR="00E43B53" w:rsidRPr="00E43B53" w:rsidRDefault="00E43B53" w:rsidP="00E43B53">
            <w:pPr>
              <w:spacing w:after="0"/>
              <w:jc w:val="center"/>
              <w:rPr>
                <w:rFonts w:eastAsia="Times New Roman" w:cs="Arial"/>
                <w:szCs w:val="20"/>
                <w:lang w:eastAsia="es-EC"/>
              </w:rPr>
            </w:pPr>
            <w:r w:rsidRPr="00E43B53">
              <w:rPr>
                <w:rFonts w:eastAsia="Times New Roman" w:cs="Arial"/>
                <w:szCs w:val="20"/>
                <w:lang w:eastAsia="es-EC"/>
              </w:rPr>
              <w:t>0.536</w:t>
            </w:r>
          </w:p>
        </w:tc>
        <w:tc>
          <w:tcPr>
            <w:tcW w:w="0" w:type="auto"/>
            <w:vAlign w:val="center"/>
            <w:hideMark/>
          </w:tcPr>
          <w:p w14:paraId="25ABBDE2" w14:textId="77777777" w:rsidR="00E43B53" w:rsidRPr="00E43B53" w:rsidRDefault="00E43B53" w:rsidP="00E43B53">
            <w:pPr>
              <w:spacing w:after="0"/>
              <w:jc w:val="center"/>
              <w:rPr>
                <w:rFonts w:eastAsia="Times New Roman" w:cs="Arial"/>
                <w:szCs w:val="20"/>
                <w:lang w:eastAsia="es-EC"/>
              </w:rPr>
            </w:pPr>
            <w:r w:rsidRPr="00E43B53">
              <w:rPr>
                <w:rFonts w:eastAsia="Times New Roman" w:cs="Arial"/>
                <w:szCs w:val="20"/>
                <w:lang w:eastAsia="es-EC"/>
              </w:rPr>
              <w:t>0.744</w:t>
            </w:r>
          </w:p>
        </w:tc>
        <w:tc>
          <w:tcPr>
            <w:tcW w:w="0" w:type="auto"/>
            <w:vAlign w:val="center"/>
            <w:hideMark/>
          </w:tcPr>
          <w:p w14:paraId="48A04691" w14:textId="77777777" w:rsidR="00E43B53" w:rsidRPr="00E43B53" w:rsidRDefault="00E43B53" w:rsidP="00E43B53">
            <w:pPr>
              <w:spacing w:after="0"/>
              <w:jc w:val="center"/>
              <w:rPr>
                <w:rFonts w:eastAsia="Times New Roman" w:cs="Arial"/>
                <w:szCs w:val="20"/>
                <w:lang w:eastAsia="es-EC"/>
              </w:rPr>
            </w:pPr>
            <w:r w:rsidRPr="00E43B53">
              <w:rPr>
                <w:rFonts w:eastAsia="Times New Roman" w:cs="Arial"/>
                <w:szCs w:val="20"/>
                <w:lang w:eastAsia="es-EC"/>
              </w:rPr>
              <w:t>0.208</w:t>
            </w:r>
          </w:p>
        </w:tc>
      </w:tr>
    </w:tbl>
    <w:p w14:paraId="2B4FFD96" w14:textId="79CE9868" w:rsidR="00E43B53" w:rsidRPr="00E43B53" w:rsidRDefault="00E43B53" w:rsidP="00E43B53">
      <w:pPr>
        <w:rPr>
          <w:rFonts w:eastAsia="Times New Roman" w:cs="Arial"/>
          <w:szCs w:val="20"/>
          <w:lang w:eastAsia="es-EC"/>
        </w:rPr>
      </w:pPr>
      <w:r w:rsidRPr="00E43B53">
        <w:rPr>
          <w:rFonts w:eastAsia="Times New Roman" w:cs="Arial"/>
          <w:i/>
          <w:iCs/>
          <w:szCs w:val="20"/>
          <w:lang w:eastAsia="es-EC"/>
        </w:rPr>
        <w:t>Nota.</w:t>
      </w:r>
      <w:r w:rsidRPr="00E43B53">
        <w:rPr>
          <w:rFonts w:eastAsia="Times New Roman" w:cs="Arial"/>
          <w:szCs w:val="20"/>
          <w:lang w:eastAsia="es-EC"/>
        </w:rPr>
        <w:t xml:space="preserve"> La “referencia previa” corresponde a los valores comparativos mostrados en el perfil país del reporte </w:t>
      </w:r>
      <w:proofErr w:type="spellStart"/>
      <w:r w:rsidRPr="00E43B53">
        <w:rPr>
          <w:rFonts w:eastAsia="Times New Roman" w:cs="Arial"/>
          <w:szCs w:val="20"/>
          <w:lang w:eastAsia="es-EC"/>
        </w:rPr>
        <w:t>GovTech</w:t>
      </w:r>
      <w:proofErr w:type="spellEnd"/>
      <w:r w:rsidRPr="00E43B53">
        <w:rPr>
          <w:rFonts w:eastAsia="Times New Roman" w:cs="Arial"/>
          <w:szCs w:val="20"/>
          <w:lang w:eastAsia="es-EC"/>
        </w:rPr>
        <w:t xml:space="preserve"> </w:t>
      </w:r>
      <w:proofErr w:type="spellStart"/>
      <w:r w:rsidRPr="00E43B53">
        <w:rPr>
          <w:rFonts w:eastAsia="Times New Roman" w:cs="Arial"/>
          <w:szCs w:val="20"/>
          <w:lang w:eastAsia="es-EC"/>
        </w:rPr>
        <w:t>Maturity</w:t>
      </w:r>
      <w:proofErr w:type="spellEnd"/>
      <w:r w:rsidRPr="00E43B53">
        <w:rPr>
          <w:rFonts w:eastAsia="Times New Roman" w:cs="Arial"/>
          <w:szCs w:val="20"/>
          <w:lang w:eastAsia="es-EC"/>
        </w:rPr>
        <w:t xml:space="preserve"> </w:t>
      </w:r>
      <w:proofErr w:type="spellStart"/>
      <w:r w:rsidRPr="00E43B53">
        <w:rPr>
          <w:rFonts w:eastAsia="Times New Roman" w:cs="Arial"/>
          <w:szCs w:val="20"/>
          <w:lang w:eastAsia="es-EC"/>
        </w:rPr>
        <w:t>Index</w:t>
      </w:r>
      <w:proofErr w:type="spellEnd"/>
      <w:r w:rsidRPr="00E43B53">
        <w:rPr>
          <w:rFonts w:eastAsia="Times New Roman" w:cs="Arial"/>
          <w:szCs w:val="20"/>
          <w:lang w:eastAsia="es-EC"/>
        </w:rPr>
        <w:t>.</w:t>
      </w:r>
    </w:p>
    <w:p w14:paraId="36C020EF" w14:textId="77777777" w:rsidR="00E43B53" w:rsidRPr="00E43B53" w:rsidRDefault="00E43B53" w:rsidP="00E43B53">
      <w:pPr>
        <w:rPr>
          <w:rFonts w:eastAsia="Times New Roman" w:cs="Arial"/>
          <w:szCs w:val="20"/>
          <w:lang w:eastAsia="es-EC"/>
        </w:rPr>
      </w:pPr>
      <w:r w:rsidRPr="00E43B53">
        <w:rPr>
          <w:rFonts w:eastAsia="Times New Roman" w:cs="Arial"/>
          <w:szCs w:val="20"/>
          <w:lang w:eastAsia="es-EC"/>
        </w:rPr>
        <w:t>Los avances registrados en los subíndices, especialmente en Datos de Calidad, Ética y Seguridad Digital, y Participación Ciudadana Digital, guardan relación con lo afirmado por Rodríguez-Pérez y Sánchez (2021), quienes sostienen que la mejora en estos ámbitos potencia la disponibilidad de información para actividades de monitoreo y predicción (Rodríguez-Pérez &amp; Sánchez, 2021). Asimismo, la literatura reciente destaca que la habilitación digital impulsa la disponibilidad de datos transaccionales con potencial predictivo, lo que abre puertas para integrar modelos prospectivos en los procesos de control (Guzmán &amp; Pérez, 2022).</w:t>
      </w:r>
    </w:p>
    <w:p w14:paraId="03BC4892" w14:textId="77777777" w:rsidR="00E43B53" w:rsidRDefault="00E43B53" w:rsidP="00E43B53">
      <w:pPr>
        <w:rPr>
          <w:rFonts w:eastAsia="Times New Roman" w:cs="Arial"/>
          <w:szCs w:val="20"/>
          <w:lang w:eastAsia="es-EC"/>
        </w:rPr>
      </w:pPr>
      <w:r w:rsidRPr="00E43B53">
        <w:rPr>
          <w:rFonts w:eastAsia="Times New Roman" w:cs="Arial"/>
          <w:szCs w:val="20"/>
          <w:lang w:eastAsia="es-EC"/>
        </w:rPr>
        <w:t xml:space="preserve">A continuación, </w:t>
      </w:r>
      <w:r w:rsidRPr="00E43B53">
        <w:rPr>
          <w:rFonts w:eastAsia="Times New Roman" w:cs="Arial"/>
          <w:bCs/>
          <w:szCs w:val="20"/>
          <w:lang w:eastAsia="es-EC"/>
        </w:rPr>
        <w:t>Figura 1</w:t>
      </w:r>
      <w:r w:rsidRPr="00E43B53">
        <w:rPr>
          <w:rFonts w:eastAsia="Times New Roman" w:cs="Arial"/>
          <w:szCs w:val="20"/>
          <w:lang w:eastAsia="es-EC"/>
        </w:rPr>
        <w:t xml:space="preserve"> ofrece una representación visual que sintetiza la expansión de cada subíndice. Esta representación es útil para observar no solo los avances absolutos, sino también las brechas relativas que podrían orientar esfuerzos de priorización dentro de sistemas de gestión basados en datos (Rodríguez, Torres &amp; Medina, 2023).</w:t>
      </w:r>
    </w:p>
    <w:p w14:paraId="428220EB" w14:textId="77777777" w:rsidR="00E43B53" w:rsidRDefault="00E43B53" w:rsidP="00E43B53">
      <w:pPr>
        <w:rPr>
          <w:rFonts w:eastAsia="Times New Roman" w:cs="Arial"/>
          <w:szCs w:val="20"/>
          <w:lang w:eastAsia="es-EC"/>
        </w:rPr>
      </w:pPr>
    </w:p>
    <w:p w14:paraId="45C86E37" w14:textId="77777777" w:rsidR="00E43B53" w:rsidRPr="00E43B53" w:rsidRDefault="00E43B53" w:rsidP="00E43B53">
      <w:pPr>
        <w:rPr>
          <w:rFonts w:eastAsia="Times New Roman" w:cs="Arial"/>
          <w:szCs w:val="20"/>
          <w:lang w:eastAsia="es-EC"/>
        </w:rPr>
      </w:pPr>
    </w:p>
    <w:p w14:paraId="3BEEDADB" w14:textId="77777777" w:rsidR="00E43B53" w:rsidRDefault="00E43B53" w:rsidP="00E43B53">
      <w:pPr>
        <w:rPr>
          <w:rFonts w:eastAsia="Times New Roman" w:cs="Arial"/>
          <w:b/>
          <w:bCs/>
          <w:szCs w:val="20"/>
          <w:lang w:eastAsia="es-EC"/>
        </w:rPr>
      </w:pPr>
      <w:r w:rsidRPr="00E43B53">
        <w:rPr>
          <w:rFonts w:eastAsia="Times New Roman" w:cs="Arial"/>
          <w:b/>
          <w:bCs/>
          <w:szCs w:val="20"/>
          <w:lang w:eastAsia="es-EC"/>
        </w:rPr>
        <w:lastRenderedPageBreak/>
        <w:t>Figura 1</w:t>
      </w:r>
    </w:p>
    <w:p w14:paraId="6938B10C" w14:textId="5CFEF44B" w:rsidR="00E43B53" w:rsidRPr="00E43B53" w:rsidRDefault="00E43B53" w:rsidP="00E43B53">
      <w:pPr>
        <w:rPr>
          <w:rFonts w:eastAsia="Times New Roman" w:cs="Arial"/>
          <w:b/>
          <w:bCs/>
          <w:szCs w:val="20"/>
          <w:lang w:eastAsia="es-EC"/>
        </w:rPr>
      </w:pPr>
      <w:r w:rsidRPr="00E43B53">
        <w:rPr>
          <w:rFonts w:eastAsia="Times New Roman" w:cs="Arial"/>
          <w:szCs w:val="20"/>
          <w:lang w:eastAsia="es-EC"/>
        </w:rPr>
        <w:t xml:space="preserve">Comparación visual de subíndices </w:t>
      </w:r>
      <w:proofErr w:type="spellStart"/>
      <w:r w:rsidRPr="00E43B53">
        <w:rPr>
          <w:rFonts w:eastAsia="Times New Roman" w:cs="Arial"/>
          <w:szCs w:val="20"/>
          <w:lang w:eastAsia="es-EC"/>
        </w:rPr>
        <w:t>GovTech</w:t>
      </w:r>
      <w:proofErr w:type="spellEnd"/>
      <w:r w:rsidRPr="00E43B53">
        <w:rPr>
          <w:rFonts w:eastAsia="Times New Roman" w:cs="Arial"/>
          <w:szCs w:val="20"/>
          <w:lang w:eastAsia="es-EC"/>
        </w:rPr>
        <w:t xml:space="preserve"> (referencia previa vs. 2022)</w:t>
      </w:r>
    </w:p>
    <w:p w14:paraId="193887B2" w14:textId="286927E3" w:rsidR="00E43B53" w:rsidRDefault="00E43B53" w:rsidP="00E43B53">
      <w:pPr>
        <w:rPr>
          <w:rFonts w:eastAsia="Times New Roman" w:cs="Arial"/>
          <w:szCs w:val="20"/>
          <w:lang w:eastAsia="es-EC"/>
        </w:rPr>
      </w:pPr>
      <w:r w:rsidRPr="00E43B53">
        <w:rPr>
          <w:rFonts w:eastAsia="Times New Roman" w:cs="Arial"/>
          <w:noProof/>
          <w:szCs w:val="20"/>
          <w:lang w:eastAsia="es-EC"/>
        </w:rPr>
        <w:drawing>
          <wp:anchor distT="0" distB="0" distL="114300" distR="114300" simplePos="0" relativeHeight="251658240" behindDoc="0" locked="0" layoutInCell="1" allowOverlap="1" wp14:anchorId="411E0333" wp14:editId="7C995DA4">
            <wp:simplePos x="0" y="0"/>
            <wp:positionH relativeFrom="margin">
              <wp:align>center</wp:align>
            </wp:positionH>
            <wp:positionV relativeFrom="paragraph">
              <wp:posOffset>7009</wp:posOffset>
            </wp:positionV>
            <wp:extent cx="3571200" cy="2502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utput (13).png"/>
                    <pic:cNvPicPr/>
                  </pic:nvPicPr>
                  <pic:blipFill rotWithShape="1">
                    <a:blip r:embed="rId13" cstate="print">
                      <a:extLst>
                        <a:ext uri="{28A0092B-C50C-407E-A947-70E740481C1C}">
                          <a14:useLocalDpi xmlns:a14="http://schemas.microsoft.com/office/drawing/2010/main" val="0"/>
                        </a:ext>
                      </a:extLst>
                    </a:blip>
                    <a:srcRect t="6053"/>
                    <a:stretch/>
                  </pic:blipFill>
                  <pic:spPr bwMode="auto">
                    <a:xfrm>
                      <a:off x="0" y="0"/>
                      <a:ext cx="3571200" cy="250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4DD9C89" w14:textId="77777777" w:rsidR="00E43B53" w:rsidRDefault="00E43B53" w:rsidP="00E43B53">
      <w:pPr>
        <w:rPr>
          <w:rFonts w:eastAsia="Times New Roman" w:cs="Arial"/>
          <w:szCs w:val="20"/>
          <w:lang w:eastAsia="es-EC"/>
        </w:rPr>
      </w:pPr>
    </w:p>
    <w:p w14:paraId="47528AD8" w14:textId="6FBCEC7C" w:rsidR="00E43B53" w:rsidRDefault="00E43B53" w:rsidP="00E43B53">
      <w:pPr>
        <w:rPr>
          <w:rFonts w:eastAsia="Times New Roman" w:cs="Arial"/>
          <w:szCs w:val="20"/>
          <w:lang w:eastAsia="es-EC"/>
        </w:rPr>
      </w:pPr>
    </w:p>
    <w:p w14:paraId="14FC8C17" w14:textId="77777777" w:rsidR="00E43B53" w:rsidRDefault="00E43B53" w:rsidP="00E43B53">
      <w:pPr>
        <w:rPr>
          <w:rFonts w:eastAsia="Times New Roman" w:cs="Arial"/>
          <w:szCs w:val="20"/>
          <w:lang w:eastAsia="es-EC"/>
        </w:rPr>
      </w:pPr>
    </w:p>
    <w:p w14:paraId="3B3BCB5D" w14:textId="5EAC9DF9" w:rsidR="00E43B53" w:rsidRDefault="00E43B53" w:rsidP="00E43B53">
      <w:pPr>
        <w:rPr>
          <w:rFonts w:eastAsia="Times New Roman" w:cs="Arial"/>
          <w:szCs w:val="20"/>
          <w:lang w:eastAsia="es-EC"/>
        </w:rPr>
      </w:pPr>
    </w:p>
    <w:p w14:paraId="0ABAC5F6" w14:textId="143EE091" w:rsidR="00E43B53" w:rsidRDefault="00E43B53" w:rsidP="00E43B53">
      <w:pPr>
        <w:rPr>
          <w:rFonts w:eastAsia="Times New Roman" w:cs="Arial"/>
          <w:szCs w:val="20"/>
          <w:lang w:eastAsia="es-EC"/>
        </w:rPr>
      </w:pPr>
    </w:p>
    <w:p w14:paraId="257E4C4B" w14:textId="77777777" w:rsidR="00E43B53" w:rsidRDefault="00E43B53" w:rsidP="00E43B53">
      <w:pPr>
        <w:rPr>
          <w:rFonts w:eastAsia="Times New Roman" w:cs="Arial"/>
          <w:szCs w:val="20"/>
          <w:lang w:eastAsia="es-EC"/>
        </w:rPr>
      </w:pPr>
    </w:p>
    <w:p w14:paraId="66CB3852" w14:textId="77777777" w:rsidR="00E43B53" w:rsidRDefault="00E43B53" w:rsidP="00E43B53">
      <w:pPr>
        <w:rPr>
          <w:rFonts w:eastAsia="Times New Roman" w:cs="Arial"/>
          <w:szCs w:val="20"/>
          <w:lang w:eastAsia="es-EC"/>
        </w:rPr>
      </w:pPr>
    </w:p>
    <w:p w14:paraId="3EED196A" w14:textId="53741C29" w:rsidR="00E43B53" w:rsidRPr="00E43B53" w:rsidRDefault="00E43B53" w:rsidP="00E43B53">
      <w:pPr>
        <w:rPr>
          <w:rFonts w:eastAsia="Times New Roman" w:cs="Arial"/>
          <w:szCs w:val="20"/>
          <w:lang w:eastAsia="es-EC"/>
        </w:rPr>
      </w:pPr>
    </w:p>
    <w:p w14:paraId="28F4BB3F" w14:textId="0AB4A69C" w:rsidR="00E43B53" w:rsidRPr="00E43B53" w:rsidRDefault="00E43B53" w:rsidP="00E43B53">
      <w:pPr>
        <w:rPr>
          <w:rFonts w:cs="Arial"/>
          <w:szCs w:val="20"/>
          <w:lang w:val="en-US"/>
        </w:rPr>
      </w:pPr>
      <w:r w:rsidRPr="00E43B53">
        <w:rPr>
          <w:rFonts w:cs="Arial"/>
          <w:i/>
          <w:iCs/>
          <w:szCs w:val="20"/>
        </w:rPr>
        <w:t>Nota.</w:t>
      </w:r>
      <w:r w:rsidRPr="00E43B53">
        <w:rPr>
          <w:rFonts w:cs="Arial"/>
          <w:szCs w:val="20"/>
        </w:rPr>
        <w:t xml:space="preserve"> Representación gráfica de magnitudes para lectura rápida.</w:t>
      </w:r>
    </w:p>
    <w:p w14:paraId="4FC01B28" w14:textId="77777777" w:rsidR="00E43B53" w:rsidRPr="00E43B53" w:rsidRDefault="00E43B53" w:rsidP="00E43B53">
      <w:pPr>
        <w:rPr>
          <w:rFonts w:eastAsia="Times New Roman" w:cs="Arial"/>
          <w:szCs w:val="20"/>
          <w:lang w:eastAsia="es-EC"/>
        </w:rPr>
      </w:pPr>
      <w:r w:rsidRPr="00E43B53">
        <w:rPr>
          <w:rFonts w:eastAsia="Times New Roman" w:cs="Arial"/>
          <w:szCs w:val="20"/>
          <w:lang w:eastAsia="es-EC"/>
        </w:rPr>
        <w:t>Esta visualización subraya que los avances más pronunciados se encuentran en dimensiones que generan datos transaccionales y de interacción, condiciones fundamentales para aplicar modelos predictivos en control de gestión (Domínguez &amp; Paredes, 2023).</w:t>
      </w:r>
    </w:p>
    <w:p w14:paraId="17DE9B03" w14:textId="77777777" w:rsidR="00E43B53" w:rsidRPr="00E43B53" w:rsidRDefault="00E43B53" w:rsidP="00E43B53">
      <w:pPr>
        <w:rPr>
          <w:rFonts w:eastAsia="Times New Roman" w:cs="Arial"/>
          <w:szCs w:val="20"/>
          <w:lang w:eastAsia="es-EC"/>
        </w:rPr>
      </w:pPr>
      <w:r w:rsidRPr="00E43B53">
        <w:rPr>
          <w:rFonts w:eastAsia="Times New Roman" w:cs="Arial"/>
          <w:szCs w:val="20"/>
          <w:lang w:eastAsia="es-EC"/>
        </w:rPr>
        <w:t xml:space="preserve">A partir del análisis multivariado aplicado (mostrado en </w:t>
      </w:r>
      <w:r w:rsidRPr="00E43B53">
        <w:rPr>
          <w:rFonts w:eastAsia="Times New Roman" w:cs="Arial"/>
          <w:bCs/>
          <w:szCs w:val="20"/>
          <w:lang w:eastAsia="es-EC"/>
        </w:rPr>
        <w:t>Tabla 2</w:t>
      </w:r>
      <w:r w:rsidRPr="00E43B53">
        <w:rPr>
          <w:rFonts w:eastAsia="Times New Roman" w:cs="Arial"/>
          <w:szCs w:val="20"/>
          <w:lang w:eastAsia="es-EC"/>
        </w:rPr>
        <w:t>), se observó que los modelos regulares de regresión penalizada ofrecen indicios complementarios sobre la contribución relativa de los subíndices. Tal como describen López-Martínez et al. (2022), el empleo de LASSO es útil cuando existe alta colinealidad entre predictores, ya que favorece la selección de variables con mayor poder explicativo, reduciendo ruido informativo. Sin embargo, en contextos con pocos puntos temporales, este mismo método puede conducir a coeficientes reducidos a cero, como sucedió en este caso.</w:t>
      </w:r>
    </w:p>
    <w:p w14:paraId="474B787B" w14:textId="77777777" w:rsidR="00E43B53" w:rsidRDefault="00E43B53" w:rsidP="00E43B53">
      <w:pPr>
        <w:rPr>
          <w:rFonts w:eastAsia="Times New Roman" w:cs="Arial"/>
          <w:b/>
          <w:bCs/>
          <w:szCs w:val="20"/>
          <w:lang w:eastAsia="es-EC"/>
        </w:rPr>
      </w:pPr>
      <w:r w:rsidRPr="00E43B53">
        <w:rPr>
          <w:rFonts w:eastAsia="Times New Roman" w:cs="Arial"/>
          <w:b/>
          <w:bCs/>
          <w:szCs w:val="20"/>
          <w:lang w:eastAsia="es-EC"/>
        </w:rPr>
        <w:t>Tabla 2</w:t>
      </w:r>
    </w:p>
    <w:p w14:paraId="51ED6E86" w14:textId="15CF2858" w:rsidR="00E43B53" w:rsidRPr="00E43B53" w:rsidRDefault="00E43B53" w:rsidP="00E43B53">
      <w:pPr>
        <w:rPr>
          <w:rFonts w:eastAsia="Times New Roman" w:cs="Arial"/>
          <w:szCs w:val="20"/>
          <w:lang w:eastAsia="es-EC"/>
        </w:rPr>
      </w:pPr>
      <w:r w:rsidRPr="00E43B53">
        <w:rPr>
          <w:rFonts w:eastAsia="Times New Roman" w:cs="Arial"/>
          <w:szCs w:val="20"/>
          <w:lang w:eastAsia="es-EC"/>
        </w:rPr>
        <w:t>Modelos penalizados para explorar la contribución de subíndices (EGDI como variable dependiente)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1"/>
        <w:gridCol w:w="2453"/>
        <w:gridCol w:w="5368"/>
      </w:tblGrid>
      <w:tr w:rsidR="00E43B53" w:rsidRPr="00E43B53" w14:paraId="310F8C64" w14:textId="77777777" w:rsidTr="00E43B53">
        <w:trPr>
          <w:tblHeader/>
          <w:tblCellSpacing w:w="15" w:type="dxa"/>
        </w:trPr>
        <w:tc>
          <w:tcPr>
            <w:tcW w:w="0" w:type="auto"/>
            <w:tcBorders>
              <w:top w:val="single" w:sz="4" w:space="0" w:color="auto"/>
            </w:tcBorders>
            <w:vAlign w:val="center"/>
            <w:hideMark/>
          </w:tcPr>
          <w:p w14:paraId="1CB5D982" w14:textId="77777777" w:rsidR="00E43B53" w:rsidRPr="00E43B53" w:rsidRDefault="00E43B53" w:rsidP="00E43B53">
            <w:pPr>
              <w:spacing w:after="0"/>
              <w:jc w:val="center"/>
              <w:rPr>
                <w:rFonts w:eastAsia="Times New Roman" w:cs="Arial"/>
                <w:b/>
                <w:bCs/>
                <w:szCs w:val="20"/>
                <w:lang w:eastAsia="es-EC"/>
              </w:rPr>
            </w:pPr>
            <w:r w:rsidRPr="00E43B53">
              <w:rPr>
                <w:rFonts w:eastAsia="Times New Roman" w:cs="Arial"/>
                <w:b/>
                <w:bCs/>
                <w:szCs w:val="20"/>
                <w:lang w:eastAsia="es-EC"/>
              </w:rPr>
              <w:t>Modelo</w:t>
            </w:r>
          </w:p>
        </w:tc>
        <w:tc>
          <w:tcPr>
            <w:tcW w:w="0" w:type="auto"/>
            <w:tcBorders>
              <w:top w:val="single" w:sz="4" w:space="0" w:color="auto"/>
            </w:tcBorders>
            <w:vAlign w:val="center"/>
            <w:hideMark/>
          </w:tcPr>
          <w:p w14:paraId="07660701" w14:textId="77777777" w:rsidR="00E43B53" w:rsidRPr="00E43B53" w:rsidRDefault="00E43B53" w:rsidP="00E43B53">
            <w:pPr>
              <w:spacing w:after="0"/>
              <w:jc w:val="center"/>
              <w:rPr>
                <w:rFonts w:eastAsia="Times New Roman" w:cs="Arial"/>
                <w:b/>
                <w:bCs/>
                <w:szCs w:val="20"/>
                <w:lang w:eastAsia="es-EC"/>
              </w:rPr>
            </w:pPr>
            <w:r w:rsidRPr="00E43B53">
              <w:rPr>
                <w:rFonts w:eastAsia="Times New Roman" w:cs="Arial"/>
                <w:b/>
                <w:bCs/>
                <w:szCs w:val="20"/>
                <w:lang w:eastAsia="es-EC"/>
              </w:rPr>
              <w:t>Enfoque</w:t>
            </w:r>
          </w:p>
        </w:tc>
        <w:tc>
          <w:tcPr>
            <w:tcW w:w="0" w:type="auto"/>
            <w:tcBorders>
              <w:top w:val="single" w:sz="4" w:space="0" w:color="auto"/>
            </w:tcBorders>
            <w:vAlign w:val="center"/>
            <w:hideMark/>
          </w:tcPr>
          <w:p w14:paraId="70275C5F" w14:textId="77777777" w:rsidR="00E43B53" w:rsidRPr="00E43B53" w:rsidRDefault="00E43B53" w:rsidP="00E43B53">
            <w:pPr>
              <w:spacing w:after="0"/>
              <w:jc w:val="center"/>
              <w:rPr>
                <w:rFonts w:eastAsia="Times New Roman" w:cs="Arial"/>
                <w:b/>
                <w:bCs/>
                <w:szCs w:val="20"/>
                <w:lang w:eastAsia="es-EC"/>
              </w:rPr>
            </w:pPr>
            <w:r w:rsidRPr="00E43B53">
              <w:rPr>
                <w:rFonts w:eastAsia="Times New Roman" w:cs="Arial"/>
                <w:b/>
                <w:bCs/>
                <w:szCs w:val="20"/>
                <w:lang w:eastAsia="es-EC"/>
              </w:rPr>
              <w:t>Resultado principal de selección/ponderación</w:t>
            </w:r>
          </w:p>
        </w:tc>
      </w:tr>
      <w:tr w:rsidR="00E43B53" w:rsidRPr="00E43B53" w14:paraId="4F2CFBD2" w14:textId="77777777" w:rsidTr="00E43B53">
        <w:trPr>
          <w:tblCellSpacing w:w="15" w:type="dxa"/>
        </w:trPr>
        <w:tc>
          <w:tcPr>
            <w:tcW w:w="0" w:type="auto"/>
            <w:tcBorders>
              <w:top w:val="single" w:sz="4" w:space="0" w:color="auto"/>
            </w:tcBorders>
            <w:vAlign w:val="center"/>
            <w:hideMark/>
          </w:tcPr>
          <w:p w14:paraId="3C89B71D" w14:textId="77777777" w:rsidR="00E43B53" w:rsidRPr="00E43B53" w:rsidRDefault="00E43B53" w:rsidP="00E43B53">
            <w:pPr>
              <w:spacing w:after="0"/>
              <w:jc w:val="center"/>
              <w:rPr>
                <w:rFonts w:eastAsia="Times New Roman" w:cs="Arial"/>
                <w:szCs w:val="20"/>
                <w:lang w:eastAsia="es-EC"/>
              </w:rPr>
            </w:pPr>
            <w:r w:rsidRPr="00E43B53">
              <w:rPr>
                <w:rFonts w:eastAsia="Times New Roman" w:cs="Arial"/>
                <w:szCs w:val="20"/>
                <w:lang w:eastAsia="es-EC"/>
              </w:rPr>
              <w:t>Ridge (L2)</w:t>
            </w:r>
          </w:p>
        </w:tc>
        <w:tc>
          <w:tcPr>
            <w:tcW w:w="0" w:type="auto"/>
            <w:tcBorders>
              <w:top w:val="single" w:sz="4" w:space="0" w:color="auto"/>
            </w:tcBorders>
            <w:vAlign w:val="center"/>
            <w:hideMark/>
          </w:tcPr>
          <w:p w14:paraId="0A42A4C3" w14:textId="77777777" w:rsidR="00E43B53" w:rsidRPr="00E43B53" w:rsidRDefault="00E43B53" w:rsidP="00E43B53">
            <w:pPr>
              <w:spacing w:after="0"/>
              <w:jc w:val="center"/>
              <w:rPr>
                <w:rFonts w:eastAsia="Times New Roman" w:cs="Arial"/>
                <w:szCs w:val="20"/>
                <w:lang w:eastAsia="es-EC"/>
              </w:rPr>
            </w:pPr>
            <w:r w:rsidRPr="00E43B53">
              <w:rPr>
                <w:rFonts w:eastAsia="Times New Roman" w:cs="Arial"/>
                <w:szCs w:val="20"/>
                <w:lang w:eastAsia="es-EC"/>
              </w:rPr>
              <w:t>Estabiliza coeficientes bajo colinealidad</w:t>
            </w:r>
          </w:p>
        </w:tc>
        <w:tc>
          <w:tcPr>
            <w:tcW w:w="0" w:type="auto"/>
            <w:tcBorders>
              <w:top w:val="single" w:sz="4" w:space="0" w:color="auto"/>
            </w:tcBorders>
            <w:vAlign w:val="center"/>
            <w:hideMark/>
          </w:tcPr>
          <w:p w14:paraId="39B77C6C" w14:textId="77777777" w:rsidR="00E43B53" w:rsidRPr="00E43B53" w:rsidRDefault="00E43B53" w:rsidP="00E43B53">
            <w:pPr>
              <w:spacing w:after="0"/>
              <w:jc w:val="center"/>
              <w:rPr>
                <w:rFonts w:eastAsia="Times New Roman" w:cs="Arial"/>
                <w:szCs w:val="20"/>
                <w:lang w:eastAsia="es-EC"/>
              </w:rPr>
            </w:pPr>
            <w:r w:rsidRPr="00E43B53">
              <w:rPr>
                <w:rFonts w:eastAsia="Times New Roman" w:cs="Arial"/>
                <w:szCs w:val="20"/>
                <w:lang w:eastAsia="es-EC"/>
              </w:rPr>
              <w:t>Distribuye el peso de forma similar entre CGSI, PSDI, DCEI y GTEI</w:t>
            </w:r>
          </w:p>
        </w:tc>
      </w:tr>
      <w:tr w:rsidR="00E43B53" w:rsidRPr="00E43B53" w14:paraId="21C1A4DC" w14:textId="77777777" w:rsidTr="00E43B53">
        <w:trPr>
          <w:tblCellSpacing w:w="15" w:type="dxa"/>
        </w:trPr>
        <w:tc>
          <w:tcPr>
            <w:tcW w:w="0" w:type="auto"/>
            <w:tcBorders>
              <w:bottom w:val="single" w:sz="4" w:space="0" w:color="auto"/>
            </w:tcBorders>
            <w:vAlign w:val="center"/>
            <w:hideMark/>
          </w:tcPr>
          <w:p w14:paraId="0BC59729" w14:textId="77777777" w:rsidR="00E43B53" w:rsidRPr="00E43B53" w:rsidRDefault="00E43B53" w:rsidP="00E43B53">
            <w:pPr>
              <w:spacing w:after="0"/>
              <w:jc w:val="center"/>
              <w:rPr>
                <w:rFonts w:eastAsia="Times New Roman" w:cs="Arial"/>
                <w:szCs w:val="20"/>
                <w:lang w:eastAsia="es-EC"/>
              </w:rPr>
            </w:pPr>
            <w:r w:rsidRPr="00E43B53">
              <w:rPr>
                <w:rFonts w:eastAsia="Times New Roman" w:cs="Arial"/>
                <w:szCs w:val="20"/>
                <w:lang w:eastAsia="es-EC"/>
              </w:rPr>
              <w:t>LASSO (L1)</w:t>
            </w:r>
          </w:p>
        </w:tc>
        <w:tc>
          <w:tcPr>
            <w:tcW w:w="0" w:type="auto"/>
            <w:tcBorders>
              <w:bottom w:val="single" w:sz="4" w:space="0" w:color="auto"/>
            </w:tcBorders>
            <w:vAlign w:val="center"/>
            <w:hideMark/>
          </w:tcPr>
          <w:p w14:paraId="3644BAA4" w14:textId="77777777" w:rsidR="00E43B53" w:rsidRPr="00E43B53" w:rsidRDefault="00E43B53" w:rsidP="00E43B53">
            <w:pPr>
              <w:spacing w:after="0"/>
              <w:jc w:val="center"/>
              <w:rPr>
                <w:rFonts w:eastAsia="Times New Roman" w:cs="Arial"/>
                <w:szCs w:val="20"/>
                <w:lang w:eastAsia="es-EC"/>
              </w:rPr>
            </w:pPr>
            <w:r w:rsidRPr="00E43B53">
              <w:rPr>
                <w:rFonts w:eastAsia="Times New Roman" w:cs="Arial"/>
                <w:szCs w:val="20"/>
                <w:lang w:eastAsia="es-EC"/>
              </w:rPr>
              <w:t>Favorece selección parsimoniosa</w:t>
            </w:r>
          </w:p>
        </w:tc>
        <w:tc>
          <w:tcPr>
            <w:tcW w:w="0" w:type="auto"/>
            <w:tcBorders>
              <w:bottom w:val="single" w:sz="4" w:space="0" w:color="auto"/>
            </w:tcBorders>
            <w:vAlign w:val="center"/>
            <w:hideMark/>
          </w:tcPr>
          <w:p w14:paraId="05B8E8A5" w14:textId="77777777" w:rsidR="00E43B53" w:rsidRPr="00E43B53" w:rsidRDefault="00E43B53" w:rsidP="00E43B53">
            <w:pPr>
              <w:spacing w:after="0"/>
              <w:jc w:val="center"/>
              <w:rPr>
                <w:rFonts w:eastAsia="Times New Roman" w:cs="Arial"/>
                <w:szCs w:val="20"/>
                <w:lang w:eastAsia="es-EC"/>
              </w:rPr>
            </w:pPr>
            <w:r w:rsidRPr="00E43B53">
              <w:rPr>
                <w:rFonts w:eastAsia="Times New Roman" w:cs="Arial"/>
                <w:szCs w:val="20"/>
                <w:lang w:eastAsia="es-EC"/>
              </w:rPr>
              <w:t>Con penalización conservadora, reduce coeficientes a 0 por colinealidad alta y pocos puntos</w:t>
            </w:r>
          </w:p>
        </w:tc>
      </w:tr>
    </w:tbl>
    <w:p w14:paraId="1CDE5820" w14:textId="4FC891C5" w:rsidR="00E43B53" w:rsidRPr="00E43B53" w:rsidRDefault="00E43B53" w:rsidP="00E43B53">
      <w:pPr>
        <w:rPr>
          <w:rFonts w:cs="Arial"/>
          <w:szCs w:val="20"/>
        </w:rPr>
      </w:pPr>
      <w:r w:rsidRPr="00E43B53">
        <w:rPr>
          <w:rFonts w:cs="Arial"/>
          <w:i/>
          <w:iCs/>
          <w:szCs w:val="20"/>
        </w:rPr>
        <w:t>Nota.</w:t>
      </w:r>
      <w:r w:rsidRPr="00E43B53">
        <w:rPr>
          <w:rFonts w:cs="Arial"/>
          <w:szCs w:val="20"/>
        </w:rPr>
        <w:t xml:space="preserve"> Coeficientes estimados con variables estandarizadas; lectura orientada a diagnóstico exploratorio.</w:t>
      </w:r>
    </w:p>
    <w:p w14:paraId="18E7930D" w14:textId="77777777" w:rsidR="00E43B53" w:rsidRPr="00E43B53" w:rsidRDefault="00E43B53" w:rsidP="00E43B53">
      <w:pPr>
        <w:rPr>
          <w:rFonts w:eastAsia="Times New Roman" w:cs="Arial"/>
          <w:szCs w:val="20"/>
          <w:lang w:eastAsia="es-EC"/>
        </w:rPr>
      </w:pPr>
      <w:r w:rsidRPr="00E43B53">
        <w:rPr>
          <w:rFonts w:eastAsia="Times New Roman" w:cs="Arial"/>
          <w:szCs w:val="20"/>
          <w:lang w:eastAsia="es-EC"/>
        </w:rPr>
        <w:t xml:space="preserve">La consistencia de estos resultados es compatible con lo que argumentan Rivera-López y Vargas (2023), quienes destacan que los modelos de regresión regularizada, si bien disminuyen el sesgo asociado a multicolinealidad, requieren densidad temporal suficiente para estimaciones robustas. Adicionalmente, se ha documentado que la inclusión de dimensiones cualitativas —como </w:t>
      </w:r>
      <w:r w:rsidRPr="00E43B53">
        <w:rPr>
          <w:rFonts w:eastAsia="Times New Roman" w:cs="Arial"/>
          <w:szCs w:val="20"/>
          <w:lang w:eastAsia="es-EC"/>
        </w:rPr>
        <w:lastRenderedPageBreak/>
        <w:t>gobernanza de datos y políticas de interoperabilidad— amplía la utilidad explicativa de tales modelos cuando se integran como variables latentes o como covariables moderadoras (Herrera &amp; Salazar, 2021).</w:t>
      </w:r>
    </w:p>
    <w:p w14:paraId="070121E2" w14:textId="77777777" w:rsidR="00E43B53" w:rsidRPr="00E43B53" w:rsidRDefault="00E43B53" w:rsidP="00E43B53">
      <w:pPr>
        <w:rPr>
          <w:rFonts w:eastAsia="Times New Roman" w:cs="Arial"/>
          <w:szCs w:val="20"/>
          <w:lang w:eastAsia="es-EC"/>
        </w:rPr>
      </w:pPr>
      <w:r w:rsidRPr="00E43B53">
        <w:rPr>
          <w:rFonts w:eastAsia="Times New Roman" w:cs="Arial"/>
          <w:szCs w:val="20"/>
          <w:lang w:eastAsia="es-EC"/>
        </w:rPr>
        <w:t xml:space="preserve">Por otra parte, en </w:t>
      </w:r>
      <w:r w:rsidRPr="00E43B53">
        <w:rPr>
          <w:rFonts w:eastAsia="Times New Roman" w:cs="Arial"/>
          <w:bCs/>
          <w:szCs w:val="20"/>
          <w:lang w:eastAsia="es-EC"/>
        </w:rPr>
        <w:t>Figura 2</w:t>
      </w:r>
      <w:r w:rsidRPr="00E43B53">
        <w:rPr>
          <w:rFonts w:eastAsia="Times New Roman" w:cs="Arial"/>
          <w:szCs w:val="20"/>
          <w:lang w:eastAsia="es-EC"/>
        </w:rPr>
        <w:t xml:space="preserve"> se sintetiza una arquitectura funcional orientada a ilustrar cómo los datos se transforman en insumo para analítica predictiva dentro del ciclo de control estratégico. Esta representación coincide con los marcos referenciales propuestos en trabajos recientes sobre sistemas de gestión digital y decisión pública basada en evidencia (Martínez-González et al., 2022).</w:t>
      </w:r>
    </w:p>
    <w:p w14:paraId="7266160A" w14:textId="77777777" w:rsidR="00E43B53" w:rsidRDefault="00E43B53" w:rsidP="00E43B53">
      <w:pPr>
        <w:rPr>
          <w:rFonts w:eastAsia="Times New Roman" w:cs="Arial"/>
          <w:b/>
          <w:bCs/>
          <w:szCs w:val="20"/>
          <w:lang w:eastAsia="es-EC"/>
        </w:rPr>
      </w:pPr>
      <w:r w:rsidRPr="00E43B53">
        <w:rPr>
          <w:rFonts w:eastAsia="Times New Roman" w:cs="Arial"/>
          <w:b/>
          <w:bCs/>
          <w:szCs w:val="20"/>
          <w:lang w:eastAsia="es-EC"/>
        </w:rPr>
        <w:t>Figura 2</w:t>
      </w:r>
    </w:p>
    <w:p w14:paraId="517D8B81" w14:textId="516877FD" w:rsidR="00E43B53" w:rsidRDefault="00E43B53" w:rsidP="00E43B53">
      <w:pPr>
        <w:rPr>
          <w:rFonts w:eastAsia="Times New Roman" w:cs="Arial"/>
          <w:szCs w:val="20"/>
          <w:lang w:eastAsia="es-EC"/>
        </w:rPr>
      </w:pPr>
      <w:r w:rsidRPr="00E43B53">
        <w:rPr>
          <w:rFonts w:eastAsia="Times New Roman" w:cs="Arial"/>
          <w:szCs w:val="20"/>
          <w:lang w:eastAsia="es-EC"/>
        </w:rPr>
        <w:t>Arquitectura funcional del control de gestión estratégico con analítica predictiva</w:t>
      </w:r>
    </w:p>
    <w:p w14:paraId="554167FE" w14:textId="4A18D03F" w:rsidR="00E43B53" w:rsidRDefault="00E43B53" w:rsidP="00E43B53">
      <w:pPr>
        <w:rPr>
          <w:rFonts w:eastAsia="Times New Roman" w:cs="Arial"/>
          <w:szCs w:val="20"/>
          <w:lang w:eastAsia="es-EC"/>
        </w:rPr>
      </w:pPr>
      <w:r w:rsidRPr="00E43B53">
        <w:rPr>
          <w:rFonts w:eastAsia="Times New Roman" w:cs="Arial"/>
          <w:noProof/>
          <w:szCs w:val="20"/>
          <w:lang w:eastAsia="es-EC"/>
        </w:rPr>
        <w:drawing>
          <wp:anchor distT="0" distB="0" distL="114300" distR="114300" simplePos="0" relativeHeight="251659264" behindDoc="0" locked="0" layoutInCell="1" allowOverlap="1" wp14:anchorId="01307286" wp14:editId="03B973BA">
            <wp:simplePos x="0" y="0"/>
            <wp:positionH relativeFrom="margin">
              <wp:align>center</wp:align>
            </wp:positionH>
            <wp:positionV relativeFrom="paragraph">
              <wp:posOffset>8219</wp:posOffset>
            </wp:positionV>
            <wp:extent cx="3571200" cy="2502000"/>
            <wp:effectExtent l="0" t="0" r="0" b="0"/>
            <wp:wrapNone/>
            <wp:docPr id="492524969" name="Imagen 492524969"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524969" name="Imagen 492524969" descr="Interfaz de usuario gráfica, Texto, Aplicación&#10;&#10;Descripción generada automáticamente"/>
                    <pic:cNvPicPr/>
                  </pic:nvPicPr>
                  <pic:blipFill rotWithShape="1">
                    <a:blip r:embed="rId14" cstate="print">
                      <a:extLst>
                        <a:ext uri="{28A0092B-C50C-407E-A947-70E740481C1C}">
                          <a14:useLocalDpi xmlns:a14="http://schemas.microsoft.com/office/drawing/2010/main" val="0"/>
                        </a:ext>
                      </a:extLst>
                    </a:blip>
                    <a:srcRect t="6622"/>
                    <a:stretch/>
                  </pic:blipFill>
                  <pic:spPr bwMode="auto">
                    <a:xfrm>
                      <a:off x="0" y="0"/>
                      <a:ext cx="3571200" cy="2502000"/>
                    </a:xfrm>
                    <a:prstGeom prst="rect">
                      <a:avLst/>
                    </a:prstGeom>
                    <a:ln>
                      <a:noFill/>
                    </a:ln>
                    <a:extLst>
                      <a:ext uri="{53640926-AAD7-44D8-BBD7-CCE9431645EC}">
                        <a14:shadowObscured xmlns:a14="http://schemas.microsoft.com/office/drawing/2010/main"/>
                      </a:ext>
                    </a:extLst>
                  </pic:spPr>
                </pic:pic>
              </a:graphicData>
            </a:graphic>
          </wp:anchor>
        </w:drawing>
      </w:r>
    </w:p>
    <w:p w14:paraId="1D71CE0E" w14:textId="18BE3398" w:rsidR="00E43B53" w:rsidRDefault="00E43B53" w:rsidP="00E43B53">
      <w:pPr>
        <w:rPr>
          <w:rFonts w:eastAsia="Times New Roman" w:cs="Arial"/>
          <w:szCs w:val="20"/>
          <w:lang w:eastAsia="es-EC"/>
        </w:rPr>
      </w:pPr>
    </w:p>
    <w:p w14:paraId="7940A8B4" w14:textId="77777777" w:rsidR="00E43B53" w:rsidRDefault="00E43B53" w:rsidP="00E43B53">
      <w:pPr>
        <w:rPr>
          <w:rFonts w:eastAsia="Times New Roman" w:cs="Arial"/>
          <w:szCs w:val="20"/>
          <w:lang w:eastAsia="es-EC"/>
        </w:rPr>
      </w:pPr>
    </w:p>
    <w:p w14:paraId="1D901D3B" w14:textId="77777777" w:rsidR="00E43B53" w:rsidRDefault="00E43B53" w:rsidP="00E43B53">
      <w:pPr>
        <w:rPr>
          <w:rFonts w:eastAsia="Times New Roman" w:cs="Arial"/>
          <w:szCs w:val="20"/>
          <w:lang w:eastAsia="es-EC"/>
        </w:rPr>
      </w:pPr>
    </w:p>
    <w:p w14:paraId="5E42F0C6" w14:textId="77777777" w:rsidR="00E43B53" w:rsidRDefault="00E43B53" w:rsidP="00E43B53">
      <w:pPr>
        <w:rPr>
          <w:rFonts w:eastAsia="Times New Roman" w:cs="Arial"/>
          <w:szCs w:val="20"/>
          <w:lang w:eastAsia="es-EC"/>
        </w:rPr>
      </w:pPr>
    </w:p>
    <w:p w14:paraId="2D6B4CFD" w14:textId="06219CC1" w:rsidR="00E43B53" w:rsidRDefault="00E43B53" w:rsidP="00E43B53">
      <w:pPr>
        <w:rPr>
          <w:rFonts w:eastAsia="Times New Roman" w:cs="Arial"/>
          <w:szCs w:val="20"/>
          <w:lang w:eastAsia="es-EC"/>
        </w:rPr>
      </w:pPr>
    </w:p>
    <w:p w14:paraId="15D3A95F" w14:textId="77777777" w:rsidR="00E43B53" w:rsidRDefault="00E43B53" w:rsidP="00E43B53">
      <w:pPr>
        <w:rPr>
          <w:rFonts w:eastAsia="Times New Roman" w:cs="Arial"/>
          <w:szCs w:val="20"/>
          <w:lang w:eastAsia="es-EC"/>
        </w:rPr>
      </w:pPr>
    </w:p>
    <w:p w14:paraId="715060BE" w14:textId="265817F8" w:rsidR="00E43B53" w:rsidRPr="00E43B53" w:rsidRDefault="00E43B53" w:rsidP="00E43B53">
      <w:pPr>
        <w:rPr>
          <w:rFonts w:eastAsia="Times New Roman" w:cs="Arial"/>
          <w:szCs w:val="20"/>
          <w:lang w:eastAsia="es-EC"/>
        </w:rPr>
      </w:pPr>
    </w:p>
    <w:p w14:paraId="585DBABD" w14:textId="7A9F3DF5" w:rsidR="00E43B53" w:rsidRPr="00E43B53" w:rsidRDefault="00E43B53" w:rsidP="00E43B53">
      <w:pPr>
        <w:rPr>
          <w:rFonts w:eastAsia="Times New Roman" w:cs="Arial"/>
          <w:szCs w:val="20"/>
          <w:lang w:eastAsia="es-EC"/>
        </w:rPr>
      </w:pPr>
    </w:p>
    <w:p w14:paraId="1ED1CD90" w14:textId="390EF481" w:rsidR="00E43B53" w:rsidRPr="00E43B53" w:rsidRDefault="00E43B53" w:rsidP="00E43B53">
      <w:pPr>
        <w:rPr>
          <w:rFonts w:cs="Arial"/>
          <w:szCs w:val="20"/>
        </w:rPr>
      </w:pPr>
      <w:r w:rsidRPr="00E43B53">
        <w:rPr>
          <w:rFonts w:cs="Arial"/>
          <w:i/>
          <w:iCs/>
          <w:szCs w:val="20"/>
        </w:rPr>
        <w:t>Nota.</w:t>
      </w:r>
      <w:r w:rsidRPr="00E43B53">
        <w:rPr>
          <w:rFonts w:cs="Arial"/>
          <w:szCs w:val="20"/>
        </w:rPr>
        <w:t xml:space="preserve"> Esquema lógico para despliegue institucional.</w:t>
      </w:r>
    </w:p>
    <w:p w14:paraId="5C2FDB92" w14:textId="77777777" w:rsidR="00E43B53" w:rsidRDefault="00E43B53" w:rsidP="00E43B53">
      <w:pPr>
        <w:rPr>
          <w:rFonts w:eastAsia="Times New Roman" w:cs="Arial"/>
          <w:szCs w:val="20"/>
          <w:lang w:eastAsia="es-EC"/>
        </w:rPr>
      </w:pPr>
      <w:r w:rsidRPr="00E43B53">
        <w:rPr>
          <w:rFonts w:eastAsia="Times New Roman" w:cs="Arial"/>
          <w:szCs w:val="20"/>
          <w:lang w:eastAsia="es-EC"/>
        </w:rPr>
        <w:t>Finalmente, la convergencia de estos resultados con la literatura especializada permite afirmar que la disponibilidad creciente de datos transaccionales derivada de la expansión de servicios digitales, no solo potencia la captura de información, sino que habilita una capa analítica predictiva que, debidamente integrada en el control estratégico, puede anticipar riesgos y orientar decisiones de alto impacto, tal como lo sostienen Domínguez &amp; Paredes (2023) y Moreno-León et al. (2022).</w:t>
      </w:r>
    </w:p>
    <w:p w14:paraId="6784ED01" w14:textId="1E632284" w:rsidR="00E43B53" w:rsidRPr="00E43B53" w:rsidRDefault="00E43B53" w:rsidP="00E43B53">
      <w:pPr>
        <w:rPr>
          <w:rFonts w:eastAsia="Times New Roman" w:cs="Arial"/>
          <w:szCs w:val="20"/>
          <w:lang w:eastAsia="es-EC"/>
        </w:rPr>
      </w:pPr>
      <w:r w:rsidRPr="00E43B53">
        <w:rPr>
          <w:rFonts w:eastAsia="Times New Roman" w:cs="Arial"/>
          <w:szCs w:val="20"/>
          <w:lang w:eastAsia="es-EC"/>
        </w:rPr>
        <w:t>Desde una perspectiva analítica de alto nivel, los resultados obtenidos permiten sostener que la expansión de la madurez digital institucional constituye un prerrequisito estructural para la consolidación del control de gestión estratégico mediante analítica predictiva. En efecto, el incremento significativo en los subíndices vinculados a servicios digitales y participación ciudadana evidencia una ampliación sustantiva del volumen y calidad de datos transaccionales disponibles. Este hallazgo resulta consistente con lo expuesto por Moreno-León et al. (2022), quienes argumentan que la digitalización institucional incrementa la trazabilidad informacional y, por consiguiente, fortalece las capacidades de modelización prospectiva.</w:t>
      </w:r>
    </w:p>
    <w:p w14:paraId="71852E1B" w14:textId="77777777" w:rsidR="00E43B53" w:rsidRPr="00E43B53" w:rsidRDefault="00E43B53" w:rsidP="00E43B53">
      <w:pPr>
        <w:rPr>
          <w:rFonts w:eastAsia="Times New Roman" w:cs="Arial"/>
          <w:szCs w:val="20"/>
          <w:lang w:eastAsia="es-EC"/>
        </w:rPr>
      </w:pPr>
      <w:r w:rsidRPr="00E43B53">
        <w:rPr>
          <w:rFonts w:eastAsia="Times New Roman" w:cs="Arial"/>
          <w:szCs w:val="20"/>
          <w:lang w:eastAsia="es-EC"/>
        </w:rPr>
        <w:t xml:space="preserve">En este mismo sentido, la mejora registrada en los componentes asociados a gobernanza de datos y calidad informacional sugiere una progresiva institucionalización de prácticas orientadas a la gestión basada en evidencia. Tal comportamiento se alinea con lo planteado por Rodríguez-Pérez y Sánchez (2021), quienes sostienen que la estructuración y estandarización de datos públicos no </w:t>
      </w:r>
      <w:r w:rsidRPr="00E43B53">
        <w:rPr>
          <w:rFonts w:eastAsia="Times New Roman" w:cs="Arial"/>
          <w:szCs w:val="20"/>
          <w:lang w:eastAsia="es-EC"/>
        </w:rPr>
        <w:lastRenderedPageBreak/>
        <w:t>solo optimiza la transparencia, sino que amplía el margen analítico para procesos de supervisión estratégica. Por consiguiente, el control de gestión deja de operar exclusivamente como mecanismo de verificación ex post y adquiere un carácter anticipatorio sustentado en estimaciones probabilísticas.</w:t>
      </w:r>
    </w:p>
    <w:p w14:paraId="1D46AD7C" w14:textId="77777777" w:rsidR="00E43B53" w:rsidRPr="00E43B53" w:rsidRDefault="00E43B53" w:rsidP="00E43B53">
      <w:pPr>
        <w:rPr>
          <w:rFonts w:eastAsia="Times New Roman" w:cs="Arial"/>
          <w:szCs w:val="20"/>
          <w:lang w:eastAsia="es-EC"/>
        </w:rPr>
      </w:pPr>
      <w:r w:rsidRPr="00E43B53">
        <w:rPr>
          <w:rFonts w:eastAsia="Times New Roman" w:cs="Arial"/>
          <w:szCs w:val="20"/>
          <w:lang w:eastAsia="es-EC"/>
        </w:rPr>
        <w:t xml:space="preserve">Sin embargo, la divergencia observada entre el avance pronunciado en madurez </w:t>
      </w:r>
      <w:proofErr w:type="spellStart"/>
      <w:r w:rsidRPr="00E43B53">
        <w:rPr>
          <w:rFonts w:eastAsia="Times New Roman" w:cs="Arial"/>
          <w:szCs w:val="20"/>
          <w:lang w:eastAsia="es-EC"/>
        </w:rPr>
        <w:t>GovTech</w:t>
      </w:r>
      <w:proofErr w:type="spellEnd"/>
      <w:r w:rsidRPr="00E43B53">
        <w:rPr>
          <w:rFonts w:eastAsia="Times New Roman" w:cs="Arial"/>
          <w:szCs w:val="20"/>
          <w:lang w:eastAsia="es-EC"/>
        </w:rPr>
        <w:t xml:space="preserve"> y la leve variación negativa del índice agregado de gobierno electrónico introduce una dimensión crítica en la interpretación de los resultados. Esta aparente disonancia sugiere que la mejora tecnológica, considerada de manera aislada, no se traduce automáticamente en desempeño institucional agregado. En concordancia con Guzmán y Pérez (2022), la efectividad de la transformación digital depende de su articulación con capacidades organizacionales, cultura analítica y coherencia estratégica. Dicho de otro modo, la infraestructura digital representa una condición necesaria, pero no suficiente, para la optimización sistémica del desempeño.</w:t>
      </w:r>
    </w:p>
    <w:p w14:paraId="3B7A2246" w14:textId="77777777" w:rsidR="00E43B53" w:rsidRPr="00E43B53" w:rsidRDefault="00E43B53" w:rsidP="00E43B53">
      <w:pPr>
        <w:rPr>
          <w:rFonts w:eastAsia="Times New Roman" w:cs="Arial"/>
          <w:szCs w:val="20"/>
          <w:lang w:eastAsia="es-EC"/>
        </w:rPr>
      </w:pPr>
      <w:r w:rsidRPr="00E43B53">
        <w:rPr>
          <w:rFonts w:eastAsia="Times New Roman" w:cs="Arial"/>
          <w:szCs w:val="20"/>
          <w:lang w:eastAsia="es-EC"/>
        </w:rPr>
        <w:t>En el plano metodológico, los resultados derivados de los modelos penalizados aportan evidencia adicional sobre la complejidad estructural del fenómeno analizado. La estabilidad de los coeficientes bajo el enfoque Ridge confirma su pertinencia cuando se enfrenta alta colinealidad entre predictores, situación frecuente en indicadores derivados de un mismo ecosistema digital. Tal comportamiento es coherente con lo señalado por López-Martínez et al. (2022), quienes destacan que la regularización L2 reduce la varianza sin sacrificar información relevante. En contraste, el comportamiento restrictivo del modelo LASSO bajo penalización conservadora refleja las limitaciones inherentes a series institucionales de baja densidad temporal, tal como advierten Rivera-López y Vargas (2023).</w:t>
      </w:r>
    </w:p>
    <w:p w14:paraId="5781A20F" w14:textId="77777777" w:rsidR="00E43B53" w:rsidRPr="00E43B53" w:rsidRDefault="00E43B53" w:rsidP="00E43B53">
      <w:pPr>
        <w:rPr>
          <w:rFonts w:eastAsia="Times New Roman" w:cs="Arial"/>
          <w:szCs w:val="20"/>
          <w:lang w:eastAsia="es-EC"/>
        </w:rPr>
      </w:pPr>
      <w:r w:rsidRPr="00E43B53">
        <w:rPr>
          <w:rFonts w:eastAsia="Times New Roman" w:cs="Arial"/>
          <w:szCs w:val="20"/>
          <w:lang w:eastAsia="es-EC"/>
        </w:rPr>
        <w:t>Desde una óptica sistémica, la arquitectura funcional propuesta —que articula datos operativos, gobernanza de datos, modelización predictiva y tableros estratégicos— refuerza la premisa de que la analítica predictiva actúa como mecanismo integrador entre información y decisión. En consonancia con Martínez-González et al. (2022), la verdadera transformación organizacional se materializa cuando los datos fluyen de manera estructurada hacia instancias directivas, generando ciclos de retroalimentación que consolidan aprendizaje institucional.</w:t>
      </w:r>
    </w:p>
    <w:p w14:paraId="2332EFFE" w14:textId="77777777" w:rsidR="00E43B53" w:rsidRPr="00E43B53" w:rsidRDefault="00E43B53" w:rsidP="00E43B53">
      <w:pPr>
        <w:rPr>
          <w:rFonts w:eastAsia="Times New Roman" w:cs="Arial"/>
          <w:szCs w:val="20"/>
          <w:lang w:eastAsia="es-EC"/>
        </w:rPr>
      </w:pPr>
      <w:r w:rsidRPr="00E43B53">
        <w:rPr>
          <w:rFonts w:eastAsia="Times New Roman" w:cs="Arial"/>
          <w:szCs w:val="20"/>
          <w:lang w:eastAsia="es-EC"/>
        </w:rPr>
        <w:t>Adicionalmente, el fortalecimiento de la participación digital introduce una dimensión de control social que amplía la base informacional del sistema estratégico. Domínguez y Paredes (2023) subrayan que la retroalimentación ciudadana digital contribuye a mejorar la calidad de los modelos predictivos al incorporar señales externas sobre desempeño percibido, lo cual incrementa la legitimidad y efectividad del control.</w:t>
      </w:r>
    </w:p>
    <w:p w14:paraId="742DB53E" w14:textId="77777777" w:rsidR="00E43B53" w:rsidRPr="00E43B53" w:rsidRDefault="00E43B53" w:rsidP="00E43B53">
      <w:pPr>
        <w:rPr>
          <w:rFonts w:eastAsia="Times New Roman" w:cs="Arial"/>
          <w:szCs w:val="20"/>
          <w:lang w:eastAsia="es-EC"/>
        </w:rPr>
      </w:pPr>
      <w:r w:rsidRPr="00E43B53">
        <w:rPr>
          <w:rFonts w:eastAsia="Times New Roman" w:cs="Arial"/>
          <w:szCs w:val="20"/>
          <w:lang w:eastAsia="es-EC"/>
        </w:rPr>
        <w:t>En términos conceptuales, los hallazgos permiten afirmar que la incorporación de analítica predictiva en el control de gestión estratégico no debe entenderse como una mera sofisticación tecnológica, sino como una reconfiguración epistemológica del proceso decisorio. Tal como sostienen Herrera y Salazar (2021), los modelos predictivos adquieren valor estratégico cuando se integran a marcos institucionales de gobernanza de datos, claridad en indicadores y alineación con objetivos organizacionales.</w:t>
      </w:r>
    </w:p>
    <w:p w14:paraId="4531DB92" w14:textId="188F00CA" w:rsidR="006C58FB" w:rsidRPr="00E43B53" w:rsidRDefault="00E43B53" w:rsidP="00E43B53">
      <w:pPr>
        <w:rPr>
          <w:rFonts w:cs="Arial"/>
          <w:szCs w:val="20"/>
        </w:rPr>
      </w:pPr>
      <w:r w:rsidRPr="00E43B53">
        <w:rPr>
          <w:rFonts w:eastAsia="Times New Roman" w:cs="Arial"/>
          <w:szCs w:val="20"/>
          <w:lang w:eastAsia="es-EC"/>
        </w:rPr>
        <w:t xml:space="preserve">La discusión evidencia que la madurez digital constituye un cimiento estructural para el control </w:t>
      </w:r>
      <w:r w:rsidRPr="00E43B53">
        <w:rPr>
          <w:rFonts w:eastAsia="Times New Roman" w:cs="Arial"/>
          <w:szCs w:val="20"/>
          <w:lang w:eastAsia="es-EC"/>
        </w:rPr>
        <w:lastRenderedPageBreak/>
        <w:t>predictivo; no obstante, su impacto real depende de la coherencia sistémica entre tecnología, procesos y cultura organizacional. Por lo tanto, el tránsito hacia un control de gestión verdaderamente prospectivo exige no solo inversión tecnológica, sino también consolidación de capacidades analíticas, fortalecimiento institucional y compromiso estratégico con la toma de decisiones basada en datos estructurados y modelización rigurosa.</w:t>
      </w:r>
    </w:p>
    <w:p w14:paraId="29EF887B" w14:textId="61B3AE48" w:rsidR="00B67769" w:rsidRDefault="000F08FC" w:rsidP="006C58FB">
      <w:pPr>
        <w:rPr>
          <w:b/>
          <w:bCs/>
        </w:rPr>
      </w:pPr>
      <w:r w:rsidRPr="000F08FC">
        <w:rPr>
          <w:b/>
          <w:bCs/>
        </w:rPr>
        <w:t>Conclusiones</w:t>
      </w:r>
    </w:p>
    <w:p w14:paraId="0CBF0521" w14:textId="77777777" w:rsidR="00E43B53" w:rsidRPr="00E43B53" w:rsidRDefault="00E43B53" w:rsidP="00E43B53">
      <w:pPr>
        <w:rPr>
          <w:rFonts w:eastAsia="Times New Roman" w:cs="Arial"/>
          <w:szCs w:val="20"/>
          <w:lang w:eastAsia="es-EC"/>
        </w:rPr>
      </w:pPr>
      <w:r w:rsidRPr="00E43B53">
        <w:rPr>
          <w:rFonts w:eastAsia="Times New Roman" w:cs="Arial"/>
          <w:szCs w:val="20"/>
          <w:lang w:eastAsia="es-EC"/>
        </w:rPr>
        <w:t>El análisis desarrollado permite concluir, en primer término, que la consolidación de la madurez digital institucional constituye un presupuesto estructural indispensable para la implementación efectiva de analítica predictiva en el marco del control de gestión estratégico. La expansión sostenida de los subíndices vinculados a servicios digitales, participación ciudadana y gobernanza de datos evidencia no solo una mejora tecnológica, sino una transformación en la capacidad institucional para generar, almacenar y procesar información con potencial analítico. Sin embargo, los resultados también demuestran que la evolución tecnológica, considerada de manera aislada, no se traduce automáticamente en incrementos proporcionales del desempeño agregado. Esta constatación pone de manifiesto que la infraestructura digital opera como condición habilitante, pero requiere una integración coherente con procesos organizacionales, cultura analítica y orientación estratégica para producir impactos sustantivos en la gestión institucional.</w:t>
      </w:r>
    </w:p>
    <w:p w14:paraId="17346A08" w14:textId="77777777" w:rsidR="00E43B53" w:rsidRPr="00E43B53" w:rsidRDefault="00E43B53" w:rsidP="00E43B53">
      <w:pPr>
        <w:rPr>
          <w:rFonts w:eastAsia="Times New Roman" w:cs="Arial"/>
          <w:szCs w:val="20"/>
          <w:lang w:eastAsia="es-EC"/>
        </w:rPr>
      </w:pPr>
      <w:r w:rsidRPr="00E43B53">
        <w:rPr>
          <w:rFonts w:eastAsia="Times New Roman" w:cs="Arial"/>
          <w:szCs w:val="20"/>
          <w:lang w:eastAsia="es-EC"/>
        </w:rPr>
        <w:t>La aplicación de modelos de regresión penalizada permitió evidenciar la complejidad estructural inherente a los sistemas institucionales altamente digitalizados. La estabilidad observada bajo el enfoque Ridge confirma su pertinencia cuando los predictores presentan alta colinealidad, fenómeno habitual en indicadores derivados de un mismo ecosistema tecnológico. Por el contrario, el comportamiento restrictivo del modelo LASSO bajo penalizaciones conservadoras revela las limitaciones que emergen cuando se dispone de series temporales reducidas o información altamente correlacionada. En consecuencia, la selección de métodos estadísticos avanzados debe responder no solo a criterios de sofisticación técnica, sino también a la naturaleza estructural de los datos y a la densidad informacional disponible. Este hallazgo reafirma la necesidad de marcos analíticos rigurosos que permitan interpretar con precisión la relación entre madurez digital y desempeño estratégico.</w:t>
      </w:r>
    </w:p>
    <w:p w14:paraId="50D465DF" w14:textId="77777777" w:rsidR="00E43B53" w:rsidRPr="00E43B53" w:rsidRDefault="00E43B53" w:rsidP="00E43B53">
      <w:pPr>
        <w:rPr>
          <w:rFonts w:eastAsia="Times New Roman" w:cs="Arial"/>
          <w:szCs w:val="20"/>
          <w:lang w:eastAsia="es-EC"/>
        </w:rPr>
      </w:pPr>
      <w:r w:rsidRPr="00E43B53">
        <w:rPr>
          <w:rFonts w:eastAsia="Times New Roman" w:cs="Arial"/>
          <w:szCs w:val="20"/>
          <w:lang w:eastAsia="es-EC"/>
        </w:rPr>
        <w:t>La arquitectura funcional propuesta, que articula datos operativos, gobernanza de datos, modelización predictiva, tableros estratégicos y acción directiva, evidencia que la verdadera transformación del control de gestión se produce cuando el sistema evoluciona desde una lógica reactiva hacia un esquema prospectivo y anticipatorio. La integración sistemática de modelos predictivos en los tableros estratégicos posibilita la identificación temprana de riesgos, la priorización de intervenciones y la optimización de recursos antes de que las desviaciones se consoliden. Por lo tanto, el control de gestión estratégico sustentado en analítica predictiva no debe entenderse como una innovación instrumental aislada, sino como una reconfiguración integral del ciclo decisorio institucional.</w:t>
      </w:r>
    </w:p>
    <w:p w14:paraId="5457484B" w14:textId="7F54FD9A" w:rsidR="0009506E" w:rsidRPr="00E43B53" w:rsidRDefault="00E43B53" w:rsidP="00E43B53">
      <w:pPr>
        <w:rPr>
          <w:rFonts w:cs="Arial"/>
          <w:sz w:val="16"/>
          <w:szCs w:val="16"/>
        </w:rPr>
      </w:pPr>
      <w:r w:rsidRPr="00E43B53">
        <w:rPr>
          <w:rFonts w:eastAsia="Times New Roman" w:cs="Arial"/>
          <w:szCs w:val="20"/>
          <w:lang w:eastAsia="es-EC"/>
        </w:rPr>
        <w:t xml:space="preserve">El estudio demuestra que el tránsito hacia un control estratégico predictivo exige una convergencia entre madurez tecnológica, calidad de datos, capacidades analíticas y alineación estratégica. La transformación digital adquiere valor real únicamente cuando se institucionaliza el uso sistemático </w:t>
      </w:r>
      <w:r w:rsidRPr="00E43B53">
        <w:rPr>
          <w:rFonts w:eastAsia="Times New Roman" w:cs="Arial"/>
          <w:szCs w:val="20"/>
          <w:lang w:eastAsia="es-EC"/>
        </w:rPr>
        <w:lastRenderedPageBreak/>
        <w:t>de la información como insumo permanente de aprendizaje organizacional y mejora continua. En este contexto, la analítica predictiva emerge como un mecanismo estructurante de gobernanza basada en datos, capaz de fortalecer la coherencia entre planificación, ejecución y evaluación, y de consolidar una gestión pública y organizacional orientada a resultados medibles, anticipados y sostenibles en el tiempo.</w:t>
      </w:r>
    </w:p>
    <w:p w14:paraId="4B9C0D8C" w14:textId="11786F6C" w:rsidR="00523375" w:rsidRDefault="00CE4A57" w:rsidP="0009506E">
      <w:pPr>
        <w:rPr>
          <w:b/>
          <w:bCs/>
        </w:rPr>
      </w:pPr>
      <w:r w:rsidRPr="000F08FC">
        <w:rPr>
          <w:b/>
          <w:bCs/>
        </w:rPr>
        <w:t>Referencias</w:t>
      </w:r>
      <w:r w:rsidRPr="000F08FC">
        <w:rPr>
          <w:b/>
          <w:bCs/>
          <w:spacing w:val="-14"/>
        </w:rPr>
        <w:t xml:space="preserve"> </w:t>
      </w:r>
      <w:r w:rsidRPr="000F08FC">
        <w:rPr>
          <w:b/>
          <w:bCs/>
        </w:rPr>
        <w:t>bibliográficas</w:t>
      </w:r>
    </w:p>
    <w:sdt>
      <w:sdtPr>
        <w:rPr>
          <w:rFonts w:ascii="Arial" w:eastAsia="Arial MT" w:hAnsi="Arial" w:cs="Arial MT"/>
          <w:bCs/>
          <w:color w:val="000000"/>
          <w:sz w:val="20"/>
          <w:szCs w:val="22"/>
          <w:lang w:val="pt-BR" w:eastAsia="en-US"/>
        </w:rPr>
        <w:tag w:val="MENDELEY_BIBLIOGRAPHY"/>
        <w:id w:val="1603683392"/>
        <w:placeholder>
          <w:docPart w:val="E6F4099F21A347AD85C4936DAE5C449C"/>
        </w:placeholder>
      </w:sdtPr>
      <w:sdtEndPr>
        <w:rPr>
          <w:rFonts w:ascii="Times New Roman" w:eastAsia="Times New Roman" w:hAnsi="Times New Roman" w:cs="Times New Roman"/>
          <w:bCs w:val="0"/>
          <w:color w:val="auto"/>
          <w:sz w:val="24"/>
          <w:szCs w:val="24"/>
          <w:lang w:eastAsia="es-EC"/>
        </w:rPr>
      </w:sdtEndPr>
      <w:sdtContent>
        <w:p w14:paraId="28B56157" w14:textId="77777777" w:rsidR="00E43B53" w:rsidRPr="00E43B53" w:rsidRDefault="00E43B53" w:rsidP="00E43B53">
          <w:pPr>
            <w:pStyle w:val="NormalWeb"/>
            <w:spacing w:before="0" w:beforeAutospacing="0" w:afterAutospacing="0" w:line="360" w:lineRule="auto"/>
            <w:ind w:left="720" w:hanging="720"/>
            <w:jc w:val="both"/>
            <w:rPr>
              <w:rFonts w:ascii="Arial" w:hAnsi="Arial" w:cs="Arial"/>
              <w:sz w:val="20"/>
              <w:szCs w:val="20"/>
            </w:rPr>
          </w:pPr>
          <w:r w:rsidRPr="00E43B53">
            <w:rPr>
              <w:rFonts w:ascii="Arial" w:hAnsi="Arial" w:cs="Arial"/>
              <w:sz w:val="20"/>
              <w:szCs w:val="20"/>
            </w:rPr>
            <w:t xml:space="preserve">Arévalo, M., &amp; Neira, C. (2023). La inteligencia de negocios como apoyo a la toma de decisiones en el área de comercialización de la empresa </w:t>
          </w:r>
          <w:proofErr w:type="spellStart"/>
          <w:r w:rsidRPr="00E43B53">
            <w:rPr>
              <w:rFonts w:ascii="Arial" w:hAnsi="Arial" w:cs="Arial"/>
              <w:sz w:val="20"/>
              <w:szCs w:val="20"/>
            </w:rPr>
            <w:t>Azuaynet</w:t>
          </w:r>
          <w:proofErr w:type="spellEnd"/>
          <w:r w:rsidRPr="00E43B53">
            <w:rPr>
              <w:rFonts w:ascii="Arial" w:hAnsi="Arial" w:cs="Arial"/>
              <w:sz w:val="20"/>
              <w:szCs w:val="20"/>
            </w:rPr>
            <w:t>. Revista Académica Decisión Gerencial, 2(4). https://doi.org/10.26871/rdg.v2i4.29</w:t>
          </w:r>
        </w:p>
        <w:p w14:paraId="51641880" w14:textId="77777777" w:rsidR="00E43B53" w:rsidRPr="00E43B53" w:rsidRDefault="00E43B53" w:rsidP="00E43B53">
          <w:pPr>
            <w:pStyle w:val="NormalWeb"/>
            <w:spacing w:before="0" w:beforeAutospacing="0" w:afterAutospacing="0" w:line="360" w:lineRule="auto"/>
            <w:ind w:left="720" w:hanging="720"/>
            <w:jc w:val="both"/>
            <w:rPr>
              <w:rFonts w:ascii="Arial" w:hAnsi="Arial" w:cs="Arial"/>
              <w:sz w:val="20"/>
              <w:szCs w:val="20"/>
            </w:rPr>
          </w:pPr>
          <w:r w:rsidRPr="00E43B53">
            <w:rPr>
              <w:rFonts w:ascii="Arial" w:hAnsi="Arial" w:cs="Arial"/>
              <w:sz w:val="20"/>
              <w:szCs w:val="20"/>
            </w:rPr>
            <w:t xml:space="preserve">Ayala, L. (2023). </w:t>
          </w:r>
          <w:proofErr w:type="spellStart"/>
          <w:r w:rsidRPr="00E43B53">
            <w:rPr>
              <w:rFonts w:ascii="Arial" w:hAnsi="Arial" w:cs="Arial"/>
              <w:sz w:val="20"/>
              <w:szCs w:val="20"/>
            </w:rPr>
            <w:t>Dashboard</w:t>
          </w:r>
          <w:proofErr w:type="spellEnd"/>
          <w:r w:rsidRPr="00E43B53">
            <w:rPr>
              <w:rFonts w:ascii="Arial" w:hAnsi="Arial" w:cs="Arial"/>
              <w:sz w:val="20"/>
              <w:szCs w:val="20"/>
            </w:rPr>
            <w:t xml:space="preserve"> para la gestión escolar y apoyo a decisiones directivas. Ciencia Latina Revista Científica Multidisciplinar, 7(1), 1–20. https://doi.org/10.37811/cl_rcm.v7i1.4639 </w:t>
          </w:r>
        </w:p>
        <w:p w14:paraId="080CD4CC" w14:textId="77777777" w:rsidR="00E43B53" w:rsidRPr="00E43B53" w:rsidRDefault="00E43B53" w:rsidP="00E43B53">
          <w:pPr>
            <w:pStyle w:val="NormalWeb"/>
            <w:spacing w:before="0" w:beforeAutospacing="0" w:afterAutospacing="0" w:line="360" w:lineRule="auto"/>
            <w:ind w:left="720" w:hanging="720"/>
            <w:jc w:val="both"/>
            <w:rPr>
              <w:rFonts w:ascii="Arial" w:hAnsi="Arial" w:cs="Arial"/>
              <w:sz w:val="20"/>
              <w:szCs w:val="20"/>
            </w:rPr>
          </w:pPr>
          <w:r w:rsidRPr="00E43B53">
            <w:rPr>
              <w:rFonts w:ascii="Arial" w:hAnsi="Arial" w:cs="Arial"/>
              <w:sz w:val="20"/>
              <w:szCs w:val="20"/>
            </w:rPr>
            <w:t xml:space="preserve">Barón, J., Ramírez, F., &amp; López, J. (2021). Business </w:t>
          </w:r>
          <w:proofErr w:type="spellStart"/>
          <w:r w:rsidRPr="00E43B53">
            <w:rPr>
              <w:rFonts w:ascii="Arial" w:hAnsi="Arial" w:cs="Arial"/>
              <w:sz w:val="20"/>
              <w:szCs w:val="20"/>
            </w:rPr>
            <w:t>intelligence</w:t>
          </w:r>
          <w:proofErr w:type="spellEnd"/>
          <w:r w:rsidRPr="00E43B53">
            <w:rPr>
              <w:rFonts w:ascii="Arial" w:hAnsi="Arial" w:cs="Arial"/>
              <w:sz w:val="20"/>
              <w:szCs w:val="20"/>
            </w:rPr>
            <w:t>: análisis de datos para la toma de decisiones en el contexto empresarial. Revista Científica de Sistemas e Informática, 1(2). https://doi.org/10.51252/rcsi.v1i2.167</w:t>
          </w:r>
        </w:p>
        <w:p w14:paraId="6F4C57F8" w14:textId="77777777" w:rsidR="00E43B53" w:rsidRPr="00E43B53" w:rsidRDefault="00E43B53" w:rsidP="00E43B53">
          <w:pPr>
            <w:pStyle w:val="NormalWeb"/>
            <w:spacing w:before="0" w:beforeAutospacing="0" w:afterAutospacing="0" w:line="360" w:lineRule="auto"/>
            <w:ind w:left="720" w:hanging="720"/>
            <w:jc w:val="both"/>
            <w:rPr>
              <w:rFonts w:ascii="Arial" w:hAnsi="Arial" w:cs="Arial"/>
              <w:sz w:val="20"/>
              <w:szCs w:val="20"/>
            </w:rPr>
          </w:pPr>
          <w:r w:rsidRPr="00E43B53">
            <w:rPr>
              <w:rFonts w:ascii="Arial" w:hAnsi="Arial" w:cs="Arial"/>
              <w:sz w:val="20"/>
              <w:szCs w:val="20"/>
            </w:rPr>
            <w:t xml:space="preserve">Calderón, F., Castro, D., Núñez, W., &amp; Serrano, M. (2021). Aplicación de técnicas de Business </w:t>
          </w:r>
          <w:proofErr w:type="spellStart"/>
          <w:r w:rsidRPr="00E43B53">
            <w:rPr>
              <w:rFonts w:ascii="Arial" w:hAnsi="Arial" w:cs="Arial"/>
              <w:sz w:val="20"/>
              <w:szCs w:val="20"/>
            </w:rPr>
            <w:t>Intelligence</w:t>
          </w:r>
          <w:proofErr w:type="spellEnd"/>
          <w:r w:rsidRPr="00E43B53">
            <w:rPr>
              <w:rFonts w:ascii="Arial" w:hAnsi="Arial" w:cs="Arial"/>
              <w:sz w:val="20"/>
              <w:szCs w:val="20"/>
            </w:rPr>
            <w:t xml:space="preserve"> (BI) y Big Data </w:t>
          </w:r>
          <w:proofErr w:type="spellStart"/>
          <w:r w:rsidRPr="00E43B53">
            <w:rPr>
              <w:rFonts w:ascii="Arial" w:hAnsi="Arial" w:cs="Arial"/>
              <w:sz w:val="20"/>
              <w:szCs w:val="20"/>
            </w:rPr>
            <w:t>Analytics</w:t>
          </w:r>
          <w:proofErr w:type="spellEnd"/>
          <w:r w:rsidRPr="00E43B53">
            <w:rPr>
              <w:rFonts w:ascii="Arial" w:hAnsi="Arial" w:cs="Arial"/>
              <w:sz w:val="20"/>
              <w:szCs w:val="20"/>
            </w:rPr>
            <w:t xml:space="preserve"> en entornos de aprendizaje virtual. Revista Ciencias Pedagógicas e Innovación, 9(2), 7–19. https://doi.org/10.26423/rcpi.v9i2.463</w:t>
          </w:r>
        </w:p>
        <w:p w14:paraId="5ED7B855" w14:textId="77777777" w:rsidR="00E43B53" w:rsidRPr="00E43B53" w:rsidRDefault="00E43B53" w:rsidP="00E43B53">
          <w:pPr>
            <w:pStyle w:val="NormalWeb"/>
            <w:spacing w:before="0" w:beforeAutospacing="0" w:afterAutospacing="0" w:line="360" w:lineRule="auto"/>
            <w:ind w:left="720" w:hanging="720"/>
            <w:jc w:val="both"/>
            <w:rPr>
              <w:rFonts w:ascii="Arial" w:hAnsi="Arial" w:cs="Arial"/>
              <w:sz w:val="20"/>
              <w:szCs w:val="20"/>
            </w:rPr>
          </w:pPr>
          <w:r w:rsidRPr="00E43B53">
            <w:rPr>
              <w:rFonts w:ascii="Arial" w:hAnsi="Arial" w:cs="Arial"/>
              <w:sz w:val="20"/>
              <w:szCs w:val="20"/>
            </w:rPr>
            <w:t xml:space="preserve">Calle, P., &amp; Valles, A. (2021). </w:t>
          </w:r>
          <w:proofErr w:type="spellStart"/>
          <w:r w:rsidRPr="00E43B53">
            <w:rPr>
              <w:rFonts w:ascii="Arial" w:hAnsi="Arial" w:cs="Arial"/>
              <w:sz w:val="20"/>
              <w:szCs w:val="20"/>
            </w:rPr>
            <w:t>Dashboard</w:t>
          </w:r>
          <w:proofErr w:type="spellEnd"/>
          <w:r w:rsidRPr="00E43B53">
            <w:rPr>
              <w:rFonts w:ascii="Arial" w:hAnsi="Arial" w:cs="Arial"/>
              <w:sz w:val="20"/>
              <w:szCs w:val="20"/>
            </w:rPr>
            <w:t xml:space="preserve"> digital para el monitoreo de indicadores institucionales de gestión académica. Revista Científica de Sistemas e Informática, 1(1). https://doi.org/10.51252/rcsi.v1i1.94</w:t>
          </w:r>
        </w:p>
        <w:p w14:paraId="14C77CCF" w14:textId="77777777" w:rsidR="00E43B53" w:rsidRPr="00E43B53" w:rsidRDefault="00E43B53" w:rsidP="00E43B53">
          <w:pPr>
            <w:pStyle w:val="NormalWeb"/>
            <w:spacing w:before="0" w:beforeAutospacing="0" w:afterAutospacing="0" w:line="360" w:lineRule="auto"/>
            <w:ind w:left="720" w:hanging="720"/>
            <w:jc w:val="both"/>
            <w:rPr>
              <w:rFonts w:ascii="Arial" w:hAnsi="Arial" w:cs="Arial"/>
              <w:sz w:val="20"/>
              <w:szCs w:val="20"/>
            </w:rPr>
          </w:pPr>
          <w:r w:rsidRPr="00E43B53">
            <w:rPr>
              <w:rFonts w:ascii="Arial" w:hAnsi="Arial" w:cs="Arial"/>
              <w:sz w:val="20"/>
              <w:szCs w:val="20"/>
            </w:rPr>
            <w:t>Casanova, C. (2023). Impacto de la analítica predictiva en la toma de decisiones gerenciales. Revista de Ciencias y Marketing, 1(3). https://doi.org/10.55813/gaea/rcym/v1/n3/17</w:t>
          </w:r>
        </w:p>
        <w:p w14:paraId="440BC234" w14:textId="77777777" w:rsidR="00E43B53" w:rsidRPr="00E43B53" w:rsidRDefault="00E43B53" w:rsidP="00E43B53">
          <w:pPr>
            <w:pStyle w:val="NormalWeb"/>
            <w:spacing w:before="0" w:beforeAutospacing="0" w:afterAutospacing="0" w:line="360" w:lineRule="auto"/>
            <w:ind w:left="720" w:hanging="720"/>
            <w:jc w:val="both"/>
            <w:rPr>
              <w:rFonts w:ascii="Arial" w:hAnsi="Arial" w:cs="Arial"/>
              <w:sz w:val="20"/>
              <w:szCs w:val="20"/>
            </w:rPr>
          </w:pPr>
          <w:r w:rsidRPr="00E43B53">
            <w:rPr>
              <w:rFonts w:ascii="Arial" w:hAnsi="Arial" w:cs="Arial"/>
              <w:sz w:val="20"/>
              <w:szCs w:val="20"/>
            </w:rPr>
            <w:t xml:space="preserve">Chávez, J. (2021). La inteligencia artificial y su sostenibilidad en las Pymes. Big </w:t>
          </w:r>
          <w:proofErr w:type="spellStart"/>
          <w:r w:rsidRPr="00E43B53">
            <w:rPr>
              <w:rFonts w:ascii="Arial" w:hAnsi="Arial" w:cs="Arial"/>
              <w:sz w:val="20"/>
              <w:szCs w:val="20"/>
            </w:rPr>
            <w:t>Bang</w:t>
          </w:r>
          <w:proofErr w:type="spellEnd"/>
          <w:r w:rsidRPr="00E43B53">
            <w:rPr>
              <w:rFonts w:ascii="Arial" w:hAnsi="Arial" w:cs="Arial"/>
              <w:sz w:val="20"/>
              <w:szCs w:val="20"/>
            </w:rPr>
            <w:t xml:space="preserve"> </w:t>
          </w:r>
          <w:proofErr w:type="spellStart"/>
          <w:r w:rsidRPr="00E43B53">
            <w:rPr>
              <w:rFonts w:ascii="Arial" w:hAnsi="Arial" w:cs="Arial"/>
              <w:sz w:val="20"/>
              <w:szCs w:val="20"/>
            </w:rPr>
            <w:t>Faustiniano</w:t>
          </w:r>
          <w:proofErr w:type="spellEnd"/>
          <w:r w:rsidRPr="00E43B53">
            <w:rPr>
              <w:rFonts w:ascii="Arial" w:hAnsi="Arial" w:cs="Arial"/>
              <w:sz w:val="20"/>
              <w:szCs w:val="20"/>
            </w:rPr>
            <w:t>, 10(2), 22–27. https://doi.org/10.51431/bbf.v10i2.680</w:t>
          </w:r>
        </w:p>
        <w:p w14:paraId="122616CA" w14:textId="77777777" w:rsidR="00E43B53" w:rsidRPr="00E43B53" w:rsidRDefault="00E43B53" w:rsidP="00E43B53">
          <w:pPr>
            <w:pStyle w:val="NormalWeb"/>
            <w:spacing w:before="0" w:beforeAutospacing="0" w:afterAutospacing="0" w:line="360" w:lineRule="auto"/>
            <w:ind w:left="720" w:hanging="720"/>
            <w:jc w:val="both"/>
            <w:rPr>
              <w:rFonts w:ascii="Arial" w:hAnsi="Arial" w:cs="Arial"/>
              <w:sz w:val="20"/>
              <w:szCs w:val="20"/>
            </w:rPr>
          </w:pPr>
          <w:r w:rsidRPr="00E43B53">
            <w:rPr>
              <w:rFonts w:ascii="Arial" w:hAnsi="Arial" w:cs="Arial"/>
              <w:sz w:val="20"/>
              <w:szCs w:val="20"/>
            </w:rPr>
            <w:t>Córdova-Aponte, M. F., Valarezo-</w:t>
          </w:r>
          <w:proofErr w:type="spellStart"/>
          <w:r w:rsidRPr="00E43B53">
            <w:rPr>
              <w:rFonts w:ascii="Arial" w:hAnsi="Arial" w:cs="Arial"/>
              <w:sz w:val="20"/>
              <w:szCs w:val="20"/>
            </w:rPr>
            <w:t>Avila</w:t>
          </w:r>
          <w:proofErr w:type="spellEnd"/>
          <w:r w:rsidRPr="00E43B53">
            <w:rPr>
              <w:rFonts w:ascii="Arial" w:hAnsi="Arial" w:cs="Arial"/>
              <w:sz w:val="20"/>
              <w:szCs w:val="20"/>
            </w:rPr>
            <w:t xml:space="preserve">, B. M., &amp; Serrano-Orellana, B. J. (2021). La inteligencia de negocios como herramienta clave en el desempeño empresarial. 593 </w:t>
          </w:r>
          <w:proofErr w:type="gramStart"/>
          <w:r w:rsidRPr="00E43B53">
            <w:rPr>
              <w:rFonts w:ascii="Arial" w:hAnsi="Arial" w:cs="Arial"/>
              <w:sz w:val="20"/>
              <w:szCs w:val="20"/>
            </w:rPr>
            <w:t>Digital</w:t>
          </w:r>
          <w:proofErr w:type="gramEnd"/>
          <w:r w:rsidRPr="00E43B53">
            <w:rPr>
              <w:rFonts w:ascii="Arial" w:hAnsi="Arial" w:cs="Arial"/>
              <w:sz w:val="20"/>
              <w:szCs w:val="20"/>
            </w:rPr>
            <w:t xml:space="preserve"> Publisher CEIT, 6(6), 306–325. https://doi.org/10.33386/593dp.2021.6.727</w:t>
          </w:r>
        </w:p>
        <w:p w14:paraId="5A450B50" w14:textId="77777777" w:rsidR="00E43B53" w:rsidRPr="00E43B53" w:rsidRDefault="00E43B53" w:rsidP="00E43B53">
          <w:pPr>
            <w:pStyle w:val="NormalWeb"/>
            <w:spacing w:before="0" w:beforeAutospacing="0" w:afterAutospacing="0" w:line="360" w:lineRule="auto"/>
            <w:ind w:left="720" w:hanging="720"/>
            <w:jc w:val="both"/>
            <w:rPr>
              <w:rFonts w:ascii="Arial" w:hAnsi="Arial" w:cs="Arial"/>
              <w:sz w:val="20"/>
              <w:szCs w:val="20"/>
            </w:rPr>
          </w:pPr>
          <w:r w:rsidRPr="00E43B53">
            <w:rPr>
              <w:rFonts w:ascii="Arial" w:hAnsi="Arial" w:cs="Arial"/>
              <w:sz w:val="20"/>
              <w:szCs w:val="20"/>
            </w:rPr>
            <w:t xml:space="preserve">Cornejo Sifuentes, J. M., Sánchez-Chero, M., Paredes-Carnero, R., &amp; Pacheco, F. (2023). Modelo predictivo para la deserción universitaria mediante técnicas de aprendizaje automático. Ciencia Latina Revista Científica Multidisciplinar, 7(5), 1–20. https://doi.org/10.37811/cl_rcm.v7i5.8363 </w:t>
          </w:r>
        </w:p>
        <w:p w14:paraId="25CFE44A" w14:textId="77777777" w:rsidR="00E43B53" w:rsidRPr="00E43B53" w:rsidRDefault="00E43B53" w:rsidP="00E43B53">
          <w:pPr>
            <w:pStyle w:val="NormalWeb"/>
            <w:spacing w:before="0" w:beforeAutospacing="0" w:afterAutospacing="0" w:line="360" w:lineRule="auto"/>
            <w:ind w:left="720" w:hanging="720"/>
            <w:jc w:val="both"/>
            <w:rPr>
              <w:rFonts w:ascii="Arial" w:hAnsi="Arial" w:cs="Arial"/>
              <w:sz w:val="20"/>
              <w:szCs w:val="20"/>
            </w:rPr>
          </w:pPr>
          <w:r w:rsidRPr="00E43B53">
            <w:rPr>
              <w:rFonts w:ascii="Arial" w:hAnsi="Arial" w:cs="Arial"/>
              <w:sz w:val="20"/>
              <w:szCs w:val="20"/>
            </w:rPr>
            <w:t xml:space="preserve">Cruz Osorio, K. G., Garzón Montealegre, V. J., Quezada Campoverde, J., &amp; Carvajal Romero, H. (2022). Tableros y gráficos automatizados: un enfoque a la visualización de datos e inteligencia de negocio. Ciencia Latina Revista Científica Multidisciplinar, 6(4), 2624–2641. https://doi.org/10.37811/cl_rcm.v6i4.2784 </w:t>
          </w:r>
        </w:p>
        <w:p w14:paraId="3375B7C3" w14:textId="77777777" w:rsidR="00E43B53" w:rsidRPr="00E43B53" w:rsidRDefault="00E43B53" w:rsidP="00E43B53">
          <w:pPr>
            <w:pStyle w:val="NormalWeb"/>
            <w:spacing w:before="0" w:beforeAutospacing="0" w:afterAutospacing="0" w:line="360" w:lineRule="auto"/>
            <w:ind w:left="720" w:hanging="720"/>
            <w:jc w:val="both"/>
            <w:rPr>
              <w:rFonts w:ascii="Arial" w:hAnsi="Arial" w:cs="Arial"/>
              <w:sz w:val="20"/>
              <w:szCs w:val="20"/>
            </w:rPr>
          </w:pPr>
          <w:r w:rsidRPr="00E43B53">
            <w:rPr>
              <w:rFonts w:ascii="Arial" w:hAnsi="Arial" w:cs="Arial"/>
              <w:sz w:val="20"/>
              <w:szCs w:val="20"/>
            </w:rPr>
            <w:t xml:space="preserve">Díaz, V. P., &amp; Muela, M. A. (2022). Marketing digital y fidelización del cliente: revisión sistemática. 593 </w:t>
          </w:r>
          <w:proofErr w:type="gramStart"/>
          <w:r w:rsidRPr="00E43B53">
            <w:rPr>
              <w:rFonts w:ascii="Arial" w:hAnsi="Arial" w:cs="Arial"/>
              <w:sz w:val="20"/>
              <w:szCs w:val="20"/>
            </w:rPr>
            <w:t>Digital</w:t>
          </w:r>
          <w:proofErr w:type="gramEnd"/>
          <w:r w:rsidRPr="00E43B53">
            <w:rPr>
              <w:rFonts w:ascii="Arial" w:hAnsi="Arial" w:cs="Arial"/>
              <w:sz w:val="20"/>
              <w:szCs w:val="20"/>
            </w:rPr>
            <w:t xml:space="preserve"> Publisher CEIT, 7(6), 116–131. https://doi.org/10.33386/593dp.2022.6.1391 </w:t>
          </w:r>
        </w:p>
        <w:p w14:paraId="46177541" w14:textId="77777777" w:rsidR="00E43B53" w:rsidRPr="00E43B53" w:rsidRDefault="00E43B53" w:rsidP="00E43B53">
          <w:pPr>
            <w:pStyle w:val="NormalWeb"/>
            <w:spacing w:before="0" w:beforeAutospacing="0" w:afterAutospacing="0" w:line="360" w:lineRule="auto"/>
            <w:ind w:left="720" w:hanging="720"/>
            <w:jc w:val="both"/>
            <w:rPr>
              <w:rFonts w:ascii="Arial" w:hAnsi="Arial" w:cs="Arial"/>
              <w:sz w:val="20"/>
              <w:szCs w:val="20"/>
            </w:rPr>
          </w:pPr>
          <w:r w:rsidRPr="00E43B53">
            <w:rPr>
              <w:rFonts w:ascii="Arial" w:hAnsi="Arial" w:cs="Arial"/>
              <w:sz w:val="20"/>
              <w:szCs w:val="20"/>
            </w:rPr>
            <w:lastRenderedPageBreak/>
            <w:t xml:space="preserve">Espinoza Pérez, L. E. (2022). Indicadores de gestión docente como instrumento de mejora en instituciones de educación superior. Ciencia Latina Revista Científica Multidisciplinar, 6(4), 1–18. https://doi.org/10.37811/cl_rcm.v6i4.2919 </w:t>
          </w:r>
        </w:p>
        <w:p w14:paraId="0CFA080C" w14:textId="77777777" w:rsidR="00E43B53" w:rsidRPr="00E43B53" w:rsidRDefault="00E43B53" w:rsidP="00E43B53">
          <w:pPr>
            <w:pStyle w:val="NormalWeb"/>
            <w:spacing w:before="0" w:beforeAutospacing="0" w:afterAutospacing="0" w:line="360" w:lineRule="auto"/>
            <w:ind w:left="720" w:hanging="720"/>
            <w:jc w:val="both"/>
            <w:rPr>
              <w:rFonts w:ascii="Arial" w:hAnsi="Arial" w:cs="Arial"/>
              <w:sz w:val="20"/>
              <w:szCs w:val="20"/>
            </w:rPr>
          </w:pPr>
          <w:r w:rsidRPr="00E43B53">
            <w:rPr>
              <w:rFonts w:ascii="Arial" w:hAnsi="Arial" w:cs="Arial"/>
              <w:sz w:val="20"/>
              <w:szCs w:val="20"/>
            </w:rPr>
            <w:t xml:space="preserve">Guzmán Rendón, J. (2022). Análisis para la implementación del sistema de gestión y su incidencia en el desempeño institucional. Ciencia Latina Revista Científica Multidisciplinar, 6(4), 1–20. https://doi.org/10.37811/cl_rcm.v6i4.2814 </w:t>
          </w:r>
        </w:p>
        <w:p w14:paraId="6F136822" w14:textId="77777777" w:rsidR="00E43B53" w:rsidRPr="00E43B53" w:rsidRDefault="00E43B53" w:rsidP="00E43B53">
          <w:pPr>
            <w:pStyle w:val="NormalWeb"/>
            <w:spacing w:before="0" w:beforeAutospacing="0" w:afterAutospacing="0" w:line="360" w:lineRule="auto"/>
            <w:ind w:left="720" w:hanging="720"/>
            <w:jc w:val="both"/>
            <w:rPr>
              <w:rFonts w:ascii="Arial" w:hAnsi="Arial" w:cs="Arial"/>
              <w:sz w:val="20"/>
              <w:szCs w:val="20"/>
            </w:rPr>
          </w:pPr>
          <w:r w:rsidRPr="00E43B53">
            <w:rPr>
              <w:rFonts w:ascii="Arial" w:hAnsi="Arial" w:cs="Arial"/>
              <w:sz w:val="20"/>
              <w:szCs w:val="20"/>
            </w:rPr>
            <w:t xml:space="preserve">Loor-Moreira, L. A., Rodríguez-Rodríguez, M. A., &amp; Cedeño, J. A. (2023). Gestión de la calidad y mejora continua: incidencia en el desempeño institucional. Ciencia Latina Revista Científica Multidisciplinar, 7(4), 1–20. https://doi.org/10.37811/cl_rcm.v7i4.6899 </w:t>
          </w:r>
        </w:p>
        <w:p w14:paraId="568ECDE5" w14:textId="77777777" w:rsidR="00E43B53" w:rsidRPr="00E43B53" w:rsidRDefault="00E43B53" w:rsidP="00E43B53">
          <w:pPr>
            <w:pStyle w:val="NormalWeb"/>
            <w:spacing w:before="0" w:beforeAutospacing="0" w:afterAutospacing="0" w:line="360" w:lineRule="auto"/>
            <w:ind w:left="720" w:hanging="720"/>
            <w:jc w:val="both"/>
            <w:rPr>
              <w:rFonts w:ascii="Arial" w:hAnsi="Arial" w:cs="Arial"/>
              <w:sz w:val="20"/>
              <w:szCs w:val="20"/>
            </w:rPr>
          </w:pPr>
          <w:r w:rsidRPr="00E43B53">
            <w:rPr>
              <w:rFonts w:ascii="Arial" w:hAnsi="Arial" w:cs="Arial"/>
              <w:sz w:val="20"/>
              <w:szCs w:val="20"/>
            </w:rPr>
            <w:t xml:space="preserve">López Vázquez, J. A., &amp; Cadena, A. (2023). Predicción de ventas mediante modelos de series temporales para la toma de decisiones. Ciencia Latina Revista Científica Multidisciplinar, 7(4), 1–20. https://doi.org/10.37811/cl_rcm.v7i4.7634 </w:t>
          </w:r>
        </w:p>
        <w:p w14:paraId="3F7DB99C" w14:textId="77777777" w:rsidR="00E43B53" w:rsidRPr="00E43B53" w:rsidRDefault="00E43B53" w:rsidP="00E43B53">
          <w:pPr>
            <w:pStyle w:val="NormalWeb"/>
            <w:spacing w:before="0" w:beforeAutospacing="0" w:afterAutospacing="0" w:line="360" w:lineRule="auto"/>
            <w:ind w:left="720" w:hanging="720"/>
            <w:jc w:val="both"/>
            <w:rPr>
              <w:rFonts w:ascii="Arial" w:hAnsi="Arial" w:cs="Arial"/>
              <w:sz w:val="20"/>
              <w:szCs w:val="20"/>
            </w:rPr>
          </w:pPr>
          <w:r w:rsidRPr="00E43B53">
            <w:rPr>
              <w:rFonts w:ascii="Arial" w:hAnsi="Arial" w:cs="Arial"/>
              <w:sz w:val="20"/>
              <w:szCs w:val="20"/>
            </w:rPr>
            <w:t xml:space="preserve">Márquez, M. (2022). El control interno y su influencia en la gestión de recursos financieros. Ciencia Latina Revista Científica Multidisciplinar, 6(5), 1–20. https://doi.org/10.37811/cl_rcm.v6i5.3227 </w:t>
          </w:r>
        </w:p>
        <w:p w14:paraId="55467355" w14:textId="77777777" w:rsidR="00E43B53" w:rsidRPr="00E43B53" w:rsidRDefault="00E43B53" w:rsidP="00E43B53">
          <w:pPr>
            <w:pStyle w:val="NormalWeb"/>
            <w:spacing w:before="0" w:beforeAutospacing="0" w:afterAutospacing="0" w:line="360" w:lineRule="auto"/>
            <w:ind w:left="720" w:hanging="720"/>
            <w:jc w:val="both"/>
            <w:rPr>
              <w:rFonts w:ascii="Arial" w:hAnsi="Arial" w:cs="Arial"/>
              <w:sz w:val="20"/>
              <w:szCs w:val="20"/>
            </w:rPr>
          </w:pPr>
          <w:r w:rsidRPr="00E43B53">
            <w:rPr>
              <w:rFonts w:ascii="Arial" w:hAnsi="Arial" w:cs="Arial"/>
              <w:sz w:val="20"/>
              <w:szCs w:val="20"/>
            </w:rPr>
            <w:t xml:space="preserve">Mella-Norambuena, J., Fuentes, C., &amp; Troncoso, M. (2023). Analíticas de aprendizaje y modelos predictivos para la mejora del rendimiento académico. Ciencia Latina Revista Científica Multidisciplinar, 7(1), 1–20. https://doi.org/10.37811/cl_rcm.v7i1.4840 </w:t>
          </w:r>
        </w:p>
        <w:p w14:paraId="0AC35FAB" w14:textId="77777777" w:rsidR="00E43B53" w:rsidRPr="00E43B53" w:rsidRDefault="00E43B53" w:rsidP="00E43B53">
          <w:pPr>
            <w:pStyle w:val="NormalWeb"/>
            <w:spacing w:before="0" w:beforeAutospacing="0" w:afterAutospacing="0" w:line="360" w:lineRule="auto"/>
            <w:ind w:left="720" w:hanging="720"/>
            <w:jc w:val="both"/>
            <w:rPr>
              <w:rFonts w:ascii="Arial" w:hAnsi="Arial" w:cs="Arial"/>
              <w:sz w:val="20"/>
              <w:szCs w:val="20"/>
            </w:rPr>
          </w:pPr>
          <w:r w:rsidRPr="00E43B53">
            <w:rPr>
              <w:rFonts w:ascii="Arial" w:hAnsi="Arial" w:cs="Arial"/>
              <w:sz w:val="20"/>
              <w:szCs w:val="20"/>
            </w:rPr>
            <w:t xml:space="preserve">Ortega, M., Zambrano, A., &amp; Rojas, D. (2023). Business </w:t>
          </w:r>
          <w:proofErr w:type="spellStart"/>
          <w:r w:rsidRPr="00E43B53">
            <w:rPr>
              <w:rFonts w:ascii="Arial" w:hAnsi="Arial" w:cs="Arial"/>
              <w:sz w:val="20"/>
              <w:szCs w:val="20"/>
            </w:rPr>
            <w:t>Intelligence</w:t>
          </w:r>
          <w:proofErr w:type="spellEnd"/>
          <w:r w:rsidRPr="00E43B53">
            <w:rPr>
              <w:rFonts w:ascii="Arial" w:hAnsi="Arial" w:cs="Arial"/>
              <w:sz w:val="20"/>
              <w:szCs w:val="20"/>
            </w:rPr>
            <w:t xml:space="preserve"> aplicado a la gestión educativa: revisión y propuesta de implementación. 593 </w:t>
          </w:r>
          <w:proofErr w:type="gramStart"/>
          <w:r w:rsidRPr="00E43B53">
            <w:rPr>
              <w:rFonts w:ascii="Arial" w:hAnsi="Arial" w:cs="Arial"/>
              <w:sz w:val="20"/>
              <w:szCs w:val="20"/>
            </w:rPr>
            <w:t>Digital</w:t>
          </w:r>
          <w:proofErr w:type="gramEnd"/>
          <w:r w:rsidRPr="00E43B53">
            <w:rPr>
              <w:rFonts w:ascii="Arial" w:hAnsi="Arial" w:cs="Arial"/>
              <w:sz w:val="20"/>
              <w:szCs w:val="20"/>
            </w:rPr>
            <w:t xml:space="preserve"> Publisher CEIT, 8(6), 1–18. https://doi.org/10.33386/593dp.2023.6.2149 </w:t>
          </w:r>
        </w:p>
        <w:p w14:paraId="0439EA28" w14:textId="77777777" w:rsidR="00E43B53" w:rsidRPr="00E43B53" w:rsidRDefault="00E43B53" w:rsidP="00E43B53">
          <w:pPr>
            <w:pStyle w:val="NormalWeb"/>
            <w:spacing w:before="0" w:beforeAutospacing="0" w:afterAutospacing="0" w:line="360" w:lineRule="auto"/>
            <w:ind w:left="720" w:hanging="720"/>
            <w:jc w:val="both"/>
            <w:rPr>
              <w:rFonts w:ascii="Arial" w:hAnsi="Arial" w:cs="Arial"/>
              <w:sz w:val="20"/>
              <w:szCs w:val="20"/>
            </w:rPr>
          </w:pPr>
          <w:r w:rsidRPr="00E43B53">
            <w:rPr>
              <w:rFonts w:ascii="Arial" w:hAnsi="Arial" w:cs="Arial"/>
              <w:sz w:val="20"/>
              <w:szCs w:val="20"/>
            </w:rPr>
            <w:t xml:space="preserve">Palma, R., Torres, J., &amp; González, M. (2022). Predictive </w:t>
          </w:r>
          <w:proofErr w:type="spellStart"/>
          <w:r w:rsidRPr="00E43B53">
            <w:rPr>
              <w:rFonts w:ascii="Arial" w:hAnsi="Arial" w:cs="Arial"/>
              <w:sz w:val="20"/>
              <w:szCs w:val="20"/>
            </w:rPr>
            <w:t>analytics</w:t>
          </w:r>
          <w:proofErr w:type="spellEnd"/>
          <w:r w:rsidRPr="00E43B53">
            <w:rPr>
              <w:rFonts w:ascii="Arial" w:hAnsi="Arial" w:cs="Arial"/>
              <w:sz w:val="20"/>
              <w:szCs w:val="20"/>
            </w:rPr>
            <w:t xml:space="preserve"> and data-</w:t>
          </w:r>
          <w:proofErr w:type="spellStart"/>
          <w:r w:rsidRPr="00E43B53">
            <w:rPr>
              <w:rFonts w:ascii="Arial" w:hAnsi="Arial" w:cs="Arial"/>
              <w:sz w:val="20"/>
              <w:szCs w:val="20"/>
            </w:rPr>
            <w:t>driven</w:t>
          </w:r>
          <w:proofErr w:type="spellEnd"/>
          <w:r w:rsidRPr="00E43B53">
            <w:rPr>
              <w:rFonts w:ascii="Arial" w:hAnsi="Arial" w:cs="Arial"/>
              <w:sz w:val="20"/>
              <w:szCs w:val="20"/>
            </w:rPr>
            <w:t xml:space="preserve"> </w:t>
          </w:r>
          <w:proofErr w:type="spellStart"/>
          <w:r w:rsidRPr="00E43B53">
            <w:rPr>
              <w:rFonts w:ascii="Arial" w:hAnsi="Arial" w:cs="Arial"/>
              <w:sz w:val="20"/>
              <w:szCs w:val="20"/>
            </w:rPr>
            <w:t>decision-making</w:t>
          </w:r>
          <w:proofErr w:type="spellEnd"/>
          <w:r w:rsidRPr="00E43B53">
            <w:rPr>
              <w:rFonts w:ascii="Arial" w:hAnsi="Arial" w:cs="Arial"/>
              <w:sz w:val="20"/>
              <w:szCs w:val="20"/>
            </w:rPr>
            <w:t xml:space="preserve">: </w:t>
          </w:r>
          <w:proofErr w:type="spellStart"/>
          <w:r w:rsidRPr="00E43B53">
            <w:rPr>
              <w:rFonts w:ascii="Arial" w:hAnsi="Arial" w:cs="Arial"/>
              <w:sz w:val="20"/>
              <w:szCs w:val="20"/>
            </w:rPr>
            <w:t>an</w:t>
          </w:r>
          <w:proofErr w:type="spellEnd"/>
          <w:r w:rsidRPr="00E43B53">
            <w:rPr>
              <w:rFonts w:ascii="Arial" w:hAnsi="Arial" w:cs="Arial"/>
              <w:sz w:val="20"/>
              <w:szCs w:val="20"/>
            </w:rPr>
            <w:t xml:space="preserve"> </w:t>
          </w:r>
          <w:proofErr w:type="spellStart"/>
          <w:r w:rsidRPr="00E43B53">
            <w:rPr>
              <w:rFonts w:ascii="Arial" w:hAnsi="Arial" w:cs="Arial"/>
              <w:sz w:val="20"/>
              <w:szCs w:val="20"/>
            </w:rPr>
            <w:t>organizational</w:t>
          </w:r>
          <w:proofErr w:type="spellEnd"/>
          <w:r w:rsidRPr="00E43B53">
            <w:rPr>
              <w:rFonts w:ascii="Arial" w:hAnsi="Arial" w:cs="Arial"/>
              <w:sz w:val="20"/>
              <w:szCs w:val="20"/>
            </w:rPr>
            <w:t xml:space="preserve"> performance </w:t>
          </w:r>
          <w:proofErr w:type="spellStart"/>
          <w:r w:rsidRPr="00E43B53">
            <w:rPr>
              <w:rFonts w:ascii="Arial" w:hAnsi="Arial" w:cs="Arial"/>
              <w:sz w:val="20"/>
              <w:szCs w:val="20"/>
            </w:rPr>
            <w:t>approach</w:t>
          </w:r>
          <w:proofErr w:type="spellEnd"/>
          <w:r w:rsidRPr="00E43B53">
            <w:rPr>
              <w:rFonts w:ascii="Arial" w:hAnsi="Arial" w:cs="Arial"/>
              <w:sz w:val="20"/>
              <w:szCs w:val="20"/>
            </w:rPr>
            <w:t xml:space="preserve">. </w:t>
          </w:r>
          <w:proofErr w:type="spellStart"/>
          <w:r w:rsidRPr="00E43B53">
            <w:rPr>
              <w:rFonts w:ascii="Arial" w:hAnsi="Arial" w:cs="Arial"/>
              <w:sz w:val="20"/>
              <w:szCs w:val="20"/>
            </w:rPr>
            <w:t>Heliyon</w:t>
          </w:r>
          <w:proofErr w:type="spellEnd"/>
          <w:r w:rsidRPr="00E43B53">
            <w:rPr>
              <w:rFonts w:ascii="Arial" w:hAnsi="Arial" w:cs="Arial"/>
              <w:sz w:val="20"/>
              <w:szCs w:val="20"/>
            </w:rPr>
            <w:t>, 8(4), e08959. https://doi.org/10.1016/j.heliyon.2022.e08959</w:t>
          </w:r>
        </w:p>
        <w:p w14:paraId="3CD8BB80" w14:textId="77777777" w:rsidR="00E43B53" w:rsidRPr="00E43B53" w:rsidRDefault="00E43B53" w:rsidP="00E43B53">
          <w:pPr>
            <w:pStyle w:val="NormalWeb"/>
            <w:spacing w:before="0" w:beforeAutospacing="0" w:afterAutospacing="0" w:line="360" w:lineRule="auto"/>
            <w:ind w:left="720" w:hanging="720"/>
            <w:jc w:val="both"/>
            <w:rPr>
              <w:rFonts w:ascii="Arial" w:hAnsi="Arial" w:cs="Arial"/>
              <w:sz w:val="20"/>
              <w:szCs w:val="20"/>
            </w:rPr>
          </w:pPr>
          <w:r w:rsidRPr="00E43B53">
            <w:rPr>
              <w:rFonts w:ascii="Arial" w:hAnsi="Arial" w:cs="Arial"/>
              <w:sz w:val="20"/>
              <w:szCs w:val="20"/>
            </w:rPr>
            <w:t>Pérez, A., Cañizales, M., &amp; Rincón, G. (2022). Analítica de datos para la gestión del conocimiento en la gerencia organizacional. Revista de la Universidad del Zulia, 13(37). https://doi.org/10.46925//rdluz.37.06</w:t>
          </w:r>
        </w:p>
        <w:p w14:paraId="619DF577" w14:textId="77777777" w:rsidR="00E43B53" w:rsidRPr="00E43B53" w:rsidRDefault="00E43B53" w:rsidP="00E43B53">
          <w:pPr>
            <w:pStyle w:val="NormalWeb"/>
            <w:spacing w:before="0" w:beforeAutospacing="0" w:afterAutospacing="0" w:line="360" w:lineRule="auto"/>
            <w:ind w:left="720" w:hanging="720"/>
            <w:jc w:val="both"/>
            <w:rPr>
              <w:rFonts w:ascii="Arial" w:hAnsi="Arial" w:cs="Arial"/>
              <w:sz w:val="20"/>
              <w:szCs w:val="20"/>
            </w:rPr>
          </w:pPr>
          <w:r w:rsidRPr="00E43B53">
            <w:rPr>
              <w:rFonts w:ascii="Arial" w:hAnsi="Arial" w:cs="Arial"/>
              <w:sz w:val="20"/>
              <w:szCs w:val="20"/>
            </w:rPr>
            <w:t xml:space="preserve">Ponce Altamirano, J. (2022). Modelo predictivo para la gestión de la calidad del gasto público. Ciencia Latina Revista Científica Multidisciplinar, 6(6), 1–20. https://doi.org/10.37811/cl_rcm.v6i6.4302 </w:t>
          </w:r>
        </w:p>
        <w:p w14:paraId="03DEB984" w14:textId="77777777" w:rsidR="00E43B53" w:rsidRPr="00E43B53" w:rsidRDefault="00E43B53" w:rsidP="00E43B53">
          <w:pPr>
            <w:pStyle w:val="NormalWeb"/>
            <w:spacing w:before="0" w:beforeAutospacing="0" w:afterAutospacing="0" w:line="360" w:lineRule="auto"/>
            <w:ind w:left="720" w:hanging="720"/>
            <w:jc w:val="both"/>
            <w:rPr>
              <w:rFonts w:ascii="Arial" w:hAnsi="Arial" w:cs="Arial"/>
              <w:sz w:val="20"/>
              <w:szCs w:val="20"/>
            </w:rPr>
          </w:pPr>
          <w:r w:rsidRPr="00E43B53">
            <w:rPr>
              <w:rFonts w:ascii="Arial" w:hAnsi="Arial" w:cs="Arial"/>
              <w:sz w:val="20"/>
              <w:szCs w:val="20"/>
            </w:rPr>
            <w:t xml:space="preserve">Sánchez Ponce, A., Cedeño, P., &amp; Cedeño, D. (2023). Indicadores de gestión del talento humano para la toma de decisiones. Ciencia Latina Revista Científica Multidisciplinar, 7(4), 1–20. https://doi.org/10.37811/cl_rcm.v7i4.7598 </w:t>
          </w:r>
        </w:p>
        <w:p w14:paraId="127FA3EB" w14:textId="77777777" w:rsidR="00E43B53" w:rsidRPr="00E43B53" w:rsidRDefault="00E43B53" w:rsidP="00E43B53">
          <w:pPr>
            <w:pStyle w:val="NormalWeb"/>
            <w:spacing w:before="0" w:beforeAutospacing="0" w:afterAutospacing="0" w:line="360" w:lineRule="auto"/>
            <w:ind w:left="720" w:hanging="720"/>
            <w:jc w:val="both"/>
            <w:rPr>
              <w:rFonts w:ascii="Arial" w:hAnsi="Arial" w:cs="Arial"/>
              <w:sz w:val="20"/>
              <w:szCs w:val="20"/>
            </w:rPr>
          </w:pPr>
          <w:r w:rsidRPr="00E43B53">
            <w:rPr>
              <w:rFonts w:ascii="Arial" w:hAnsi="Arial" w:cs="Arial"/>
              <w:sz w:val="20"/>
              <w:szCs w:val="20"/>
            </w:rPr>
            <w:t>Valarezo-</w:t>
          </w:r>
          <w:proofErr w:type="spellStart"/>
          <w:r w:rsidRPr="00E43B53">
            <w:rPr>
              <w:rFonts w:ascii="Arial" w:hAnsi="Arial" w:cs="Arial"/>
              <w:sz w:val="20"/>
              <w:szCs w:val="20"/>
            </w:rPr>
            <w:t>Avila</w:t>
          </w:r>
          <w:proofErr w:type="spellEnd"/>
          <w:r w:rsidRPr="00E43B53">
            <w:rPr>
              <w:rFonts w:ascii="Arial" w:hAnsi="Arial" w:cs="Arial"/>
              <w:sz w:val="20"/>
              <w:szCs w:val="20"/>
            </w:rPr>
            <w:t xml:space="preserve">, B. M., Córdova-Aponte, M. F., &amp; Serrano-Orellana, B. J. (2021). La inteligencia de negocios como herramienta clave en el desempeño empresarial. 593 </w:t>
          </w:r>
          <w:proofErr w:type="gramStart"/>
          <w:r w:rsidRPr="00E43B53">
            <w:rPr>
              <w:rFonts w:ascii="Arial" w:hAnsi="Arial" w:cs="Arial"/>
              <w:sz w:val="20"/>
              <w:szCs w:val="20"/>
            </w:rPr>
            <w:t>Digital</w:t>
          </w:r>
          <w:proofErr w:type="gramEnd"/>
          <w:r w:rsidRPr="00E43B53">
            <w:rPr>
              <w:rFonts w:ascii="Arial" w:hAnsi="Arial" w:cs="Arial"/>
              <w:sz w:val="20"/>
              <w:szCs w:val="20"/>
            </w:rPr>
            <w:t xml:space="preserve"> Publisher CEIT, 6(6), 306–325. https://doi.org/10.33386/593dp.2021.6.727</w:t>
          </w:r>
        </w:p>
        <w:p w14:paraId="45C0333B" w14:textId="77777777" w:rsidR="00E43B53" w:rsidRPr="00E43B53" w:rsidRDefault="00E43B53" w:rsidP="00E43B53">
          <w:pPr>
            <w:pStyle w:val="NormalWeb"/>
            <w:spacing w:before="0" w:beforeAutospacing="0" w:afterAutospacing="0" w:line="360" w:lineRule="auto"/>
            <w:ind w:left="720" w:hanging="720"/>
            <w:jc w:val="both"/>
            <w:rPr>
              <w:rFonts w:ascii="Arial" w:hAnsi="Arial" w:cs="Arial"/>
              <w:sz w:val="20"/>
              <w:szCs w:val="20"/>
            </w:rPr>
          </w:pPr>
          <w:proofErr w:type="spellStart"/>
          <w:r w:rsidRPr="00E43B53">
            <w:rPr>
              <w:rFonts w:ascii="Arial" w:hAnsi="Arial" w:cs="Arial"/>
              <w:sz w:val="20"/>
              <w:szCs w:val="20"/>
            </w:rPr>
            <w:lastRenderedPageBreak/>
            <w:t>Valcarce</w:t>
          </w:r>
          <w:proofErr w:type="spellEnd"/>
          <w:r w:rsidRPr="00E43B53">
            <w:rPr>
              <w:rFonts w:ascii="Arial" w:hAnsi="Arial" w:cs="Arial"/>
              <w:sz w:val="20"/>
              <w:szCs w:val="20"/>
            </w:rPr>
            <w:t xml:space="preserve"> Torrico, A. (2023). Sistema de gestión en el sector público: enfoque a resultados y desempeño institucional. Ciencia Latina Revista Científica Multidisciplinar, 7(6), 1–20. https://doi.org/10.37811/cl_rcm.v7i6.8806 </w:t>
          </w:r>
        </w:p>
        <w:p w14:paraId="797A357F" w14:textId="77777777" w:rsidR="00E43B53" w:rsidRPr="00E43B53" w:rsidRDefault="00E43B53" w:rsidP="00E43B53">
          <w:pPr>
            <w:pStyle w:val="NormalWeb"/>
            <w:spacing w:before="0" w:beforeAutospacing="0" w:afterAutospacing="0" w:line="360" w:lineRule="auto"/>
            <w:ind w:left="720" w:hanging="720"/>
            <w:jc w:val="both"/>
            <w:rPr>
              <w:rFonts w:ascii="Arial" w:hAnsi="Arial" w:cs="Arial"/>
              <w:sz w:val="20"/>
              <w:szCs w:val="20"/>
            </w:rPr>
          </w:pPr>
          <w:r w:rsidRPr="00E43B53">
            <w:rPr>
              <w:rFonts w:ascii="Arial" w:hAnsi="Arial" w:cs="Arial"/>
              <w:sz w:val="20"/>
              <w:szCs w:val="20"/>
            </w:rPr>
            <w:t xml:space="preserve">Vega De la Cruz, L. O., &amp; Marrero Delgado, F. (2021). Procedimiento para el control de gestión en organizaciones orientadas a proyectos. Enfoque UTE, 12(1), 118–136. https://doi.org/10.32719/25506641.2021.10.10 </w:t>
          </w:r>
        </w:p>
        <w:p w14:paraId="60634BE3" w14:textId="77777777" w:rsidR="00E43B53" w:rsidRPr="00E43B53" w:rsidRDefault="00E43B53" w:rsidP="00E43B53">
          <w:pPr>
            <w:pStyle w:val="NormalWeb"/>
            <w:spacing w:before="0" w:beforeAutospacing="0" w:afterAutospacing="0" w:line="360" w:lineRule="auto"/>
            <w:ind w:left="720" w:hanging="720"/>
            <w:jc w:val="both"/>
            <w:rPr>
              <w:rFonts w:ascii="Arial" w:hAnsi="Arial" w:cs="Arial"/>
              <w:sz w:val="20"/>
              <w:szCs w:val="20"/>
            </w:rPr>
          </w:pPr>
          <w:r w:rsidRPr="00E43B53">
            <w:rPr>
              <w:rFonts w:ascii="Arial" w:hAnsi="Arial" w:cs="Arial"/>
              <w:sz w:val="20"/>
              <w:szCs w:val="20"/>
            </w:rPr>
            <w:t xml:space="preserve">Vega Heredia, R. (2023). Elaboración de un cuadro de mando integral para una compañía mediante </w:t>
          </w:r>
          <w:proofErr w:type="spellStart"/>
          <w:r w:rsidRPr="00E43B53">
            <w:rPr>
              <w:rFonts w:ascii="Arial" w:hAnsi="Arial" w:cs="Arial"/>
              <w:sz w:val="20"/>
              <w:szCs w:val="20"/>
            </w:rPr>
            <w:t>Power</w:t>
          </w:r>
          <w:proofErr w:type="spellEnd"/>
          <w:r w:rsidRPr="00E43B53">
            <w:rPr>
              <w:rFonts w:ascii="Arial" w:hAnsi="Arial" w:cs="Arial"/>
              <w:sz w:val="20"/>
              <w:szCs w:val="20"/>
            </w:rPr>
            <w:t xml:space="preserve"> BI. Ciencia Latina Revista Científica Multidisciplinar, 7(2), 1–20. https://doi.org/10.37811/cl_rcm.v7i2.5923 </w:t>
          </w:r>
        </w:p>
        <w:p w14:paraId="5C631BF4" w14:textId="77777777" w:rsidR="00E43B53" w:rsidRPr="00E43B53" w:rsidRDefault="00E43B53" w:rsidP="00E43B53">
          <w:pPr>
            <w:pStyle w:val="NormalWeb"/>
            <w:spacing w:before="0" w:beforeAutospacing="0" w:afterAutospacing="0" w:line="360" w:lineRule="auto"/>
            <w:ind w:left="720" w:hanging="720"/>
            <w:jc w:val="both"/>
            <w:rPr>
              <w:rFonts w:ascii="Arial" w:hAnsi="Arial" w:cs="Arial"/>
              <w:sz w:val="20"/>
              <w:szCs w:val="20"/>
            </w:rPr>
          </w:pPr>
          <w:r w:rsidRPr="00E43B53">
            <w:rPr>
              <w:rFonts w:ascii="Arial" w:hAnsi="Arial" w:cs="Arial"/>
              <w:sz w:val="20"/>
              <w:szCs w:val="20"/>
            </w:rPr>
            <w:t xml:space="preserve">Visa, V. (2022). Tablero de gestión estratégico y su contribución a la toma de decisiones organizacionales. Ciencia Latina Revista Científica Multidisciplinar, 6(6), 1–20. https://doi.org/10.37811/cl_rcm.v6i6.4281 </w:t>
          </w:r>
        </w:p>
        <w:p w14:paraId="15F7FB50" w14:textId="61344D55" w:rsidR="003474D1" w:rsidRPr="00C86E10" w:rsidRDefault="00E43B53" w:rsidP="00E43B53">
          <w:pPr>
            <w:pStyle w:val="NormalWeb"/>
            <w:spacing w:before="0" w:beforeAutospacing="0" w:afterAutospacing="0" w:line="360" w:lineRule="auto"/>
            <w:ind w:left="720" w:hanging="720"/>
            <w:jc w:val="both"/>
          </w:pPr>
          <w:r w:rsidRPr="00E43B53">
            <w:rPr>
              <w:rFonts w:ascii="Arial" w:hAnsi="Arial" w:cs="Arial"/>
              <w:sz w:val="20"/>
              <w:szCs w:val="20"/>
            </w:rPr>
            <w:t xml:space="preserve">Vivas Paspuel, C. A., &amp; Vivas Paspuel, A. A. (2021). Uso de </w:t>
          </w:r>
          <w:proofErr w:type="spellStart"/>
          <w:r w:rsidRPr="00E43B53">
            <w:rPr>
              <w:rFonts w:ascii="Arial" w:hAnsi="Arial" w:cs="Arial"/>
              <w:sz w:val="20"/>
              <w:szCs w:val="20"/>
            </w:rPr>
            <w:t>Power</w:t>
          </w:r>
          <w:proofErr w:type="spellEnd"/>
          <w:r w:rsidRPr="00E43B53">
            <w:rPr>
              <w:rFonts w:ascii="Arial" w:hAnsi="Arial" w:cs="Arial"/>
              <w:sz w:val="20"/>
              <w:szCs w:val="20"/>
            </w:rPr>
            <w:t xml:space="preserve"> BI para el control y visualización de información en procesos de gestión. Ingenio, 4(1), 12–25. https://doi.org/10.29166/ingenio.v4i1.3068</w:t>
          </w:r>
        </w:p>
      </w:sdtContent>
    </w:sdt>
    <w:p w14:paraId="30C88BC1" w14:textId="037B3B4D" w:rsidR="004C50FE" w:rsidRPr="00C42456" w:rsidRDefault="004C50FE" w:rsidP="009704CE">
      <w:pPr>
        <w:rPr>
          <w:rFonts w:eastAsia="Times New Roman" w:cs="Arial"/>
          <w:color w:val="000000"/>
          <w:sz w:val="12"/>
          <w:szCs w:val="14"/>
        </w:rPr>
      </w:pPr>
    </w:p>
    <w:sectPr w:rsidR="004C50FE" w:rsidRPr="00C42456" w:rsidSect="005844FE">
      <w:headerReference w:type="default" r:id="rId15"/>
      <w:footerReference w:type="default" r:id="rId16"/>
      <w:pgSz w:w="11910" w:h="16840"/>
      <w:pgMar w:top="1320" w:right="1559" w:bottom="280" w:left="1559" w:header="230" w:footer="0" w:gutter="0"/>
      <w:pgNumType w:start="59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8CB561" w14:textId="77777777" w:rsidR="00CC3E05" w:rsidRDefault="00CC3E05">
      <w:r>
        <w:separator/>
      </w:r>
    </w:p>
  </w:endnote>
  <w:endnote w:type="continuationSeparator" w:id="0">
    <w:p w14:paraId="07E3D89A" w14:textId="77777777" w:rsidR="00CC3E05" w:rsidRDefault="00CC3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6829020"/>
      <w:docPartObj>
        <w:docPartGallery w:val="Page Numbers (Bottom of Page)"/>
        <w:docPartUnique/>
      </w:docPartObj>
    </w:sdtPr>
    <w:sdtContent>
      <w:p w14:paraId="301B6C49" w14:textId="77777777" w:rsidR="00411B2C" w:rsidRDefault="00411B2C" w:rsidP="004E6266">
        <w:pPr>
          <w:pStyle w:val="Piedepgina"/>
          <w:spacing w:line="240" w:lineRule="auto"/>
          <w:jc w:val="center"/>
        </w:pPr>
      </w:p>
      <w:p w14:paraId="2046ECD5" w14:textId="77777777" w:rsidR="004E6266" w:rsidRDefault="00001205" w:rsidP="00411B2C">
        <w:pPr>
          <w:pStyle w:val="Piedepgina"/>
          <w:jc w:val="center"/>
        </w:pPr>
        <w:r>
          <w:fldChar w:fldCharType="begin"/>
        </w:r>
        <w:r>
          <w:instrText>PAGE   \* MERGEFORMAT</w:instrText>
        </w:r>
        <w:r>
          <w:fldChar w:fldCharType="separate"/>
        </w:r>
        <w:r>
          <w:t>2</w:t>
        </w:r>
        <w:r>
          <w:fldChar w:fldCharType="end"/>
        </w:r>
      </w:p>
      <w:p w14:paraId="02F01E99" w14:textId="7FC0BE06" w:rsidR="00411B2C" w:rsidRDefault="00000000" w:rsidP="004E6266">
        <w:pPr>
          <w:pStyle w:val="Piedepgina"/>
          <w:spacing w:line="240" w:lineRule="auto"/>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E085B5" w14:textId="77777777" w:rsidR="00CC3E05" w:rsidRDefault="00CC3E05">
      <w:r>
        <w:separator/>
      </w:r>
    </w:p>
  </w:footnote>
  <w:footnote w:type="continuationSeparator" w:id="0">
    <w:p w14:paraId="22B43670" w14:textId="77777777" w:rsidR="00CC3E05" w:rsidRDefault="00CC3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C201D" w14:textId="77777777" w:rsidR="00844EFF" w:rsidRDefault="00844EFF">
    <w:pPr>
      <w:pStyle w:val="Textoindependiente"/>
      <w:spacing w:line="14" w:lineRule="auto"/>
      <w:ind w:left="0"/>
      <w:jc w:val="left"/>
    </w:pPr>
  </w:p>
  <w:p w14:paraId="56FF412B" w14:textId="601FADD1" w:rsidR="00523375" w:rsidRDefault="004E6266">
    <w:pPr>
      <w:pStyle w:val="Textoindependiente"/>
      <w:spacing w:line="14" w:lineRule="auto"/>
      <w:ind w:left="0"/>
      <w:jc w:val="left"/>
    </w:pPr>
    <w:r>
      <w:rPr>
        <w:noProof/>
      </w:rPr>
      <w:drawing>
        <wp:anchor distT="0" distB="0" distL="114300" distR="114300" simplePos="0" relativeHeight="251661824" behindDoc="0" locked="0" layoutInCell="1" allowOverlap="1" wp14:anchorId="18E81B40" wp14:editId="3A746124">
          <wp:simplePos x="0" y="0"/>
          <wp:positionH relativeFrom="margin">
            <wp:posOffset>178025</wp:posOffset>
          </wp:positionH>
          <wp:positionV relativeFrom="paragraph">
            <wp:posOffset>-33406</wp:posOffset>
          </wp:positionV>
          <wp:extent cx="412115" cy="696595"/>
          <wp:effectExtent l="0" t="0" r="6985" b="8255"/>
          <wp:wrapTopAndBottom/>
          <wp:docPr id="32330747" name="Imagen 32330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115" cy="696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6F46">
      <w:rPr>
        <w:noProof/>
      </w:rPr>
      <mc:AlternateContent>
        <mc:Choice Requires="wps">
          <w:drawing>
            <wp:anchor distT="0" distB="0" distL="0" distR="0" simplePos="0" relativeHeight="251660800" behindDoc="1" locked="0" layoutInCell="1" allowOverlap="1" wp14:anchorId="58CDB73A" wp14:editId="257465F1">
              <wp:simplePos x="0" y="0"/>
              <wp:positionH relativeFrom="page">
                <wp:posOffset>1844040</wp:posOffset>
              </wp:positionH>
              <wp:positionV relativeFrom="page">
                <wp:posOffset>365760</wp:posOffset>
              </wp:positionV>
              <wp:extent cx="1311275" cy="3886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1275" cy="388620"/>
                      </a:xfrm>
                      <a:prstGeom prst="rect">
                        <a:avLst/>
                      </a:prstGeom>
                    </wps:spPr>
                    <wps:txbx>
                      <w:txbxContent>
                        <w:p w14:paraId="48801D69" w14:textId="77777777" w:rsidR="00523375" w:rsidRDefault="00D828F5">
                          <w:pPr>
                            <w:spacing w:before="10"/>
                            <w:ind w:left="20" w:right="18"/>
                            <w:rPr>
                              <w:rFonts w:ascii="Times New Roman" w:hAnsi="Times New Roman"/>
                              <w:b/>
                            </w:rPr>
                          </w:pPr>
                          <w:r>
                            <w:rPr>
                              <w:rFonts w:ascii="Times New Roman" w:hAnsi="Times New Roman"/>
                              <w:b/>
                            </w:rPr>
                            <w:t>VISIÓN</w:t>
                          </w:r>
                          <w:r>
                            <w:rPr>
                              <w:rFonts w:ascii="Times New Roman" w:hAnsi="Times New Roman"/>
                              <w:b/>
                              <w:spacing w:val="-13"/>
                            </w:rPr>
                            <w:t xml:space="preserve"> </w:t>
                          </w:r>
                          <w:r>
                            <w:rPr>
                              <w:rFonts w:ascii="Times New Roman" w:hAnsi="Times New Roman"/>
                              <w:b/>
                            </w:rPr>
                            <w:t>ACADÉMICA ISSN: 3103-1536</w:t>
                          </w:r>
                        </w:p>
                      </w:txbxContent>
                    </wps:txbx>
                    <wps:bodyPr wrap="square" lIns="0" tIns="0" rIns="0" bIns="0" rtlCol="0">
                      <a:noAutofit/>
                    </wps:bodyPr>
                  </wps:wsp>
                </a:graphicData>
              </a:graphic>
              <wp14:sizeRelV relativeFrom="margin">
                <wp14:pctHeight>0</wp14:pctHeight>
              </wp14:sizeRelV>
            </wp:anchor>
          </w:drawing>
        </mc:Choice>
        <mc:Fallback>
          <w:pict>
            <v:shapetype w14:anchorId="58CDB73A" id="_x0000_t202" coordsize="21600,21600" o:spt="202" path="m,l,21600r21600,l21600,xe">
              <v:stroke joinstyle="miter"/>
              <v:path gradientshapeok="t" o:connecttype="rect"/>
            </v:shapetype>
            <v:shape id="Textbox 3" o:spid="_x0000_s1026" type="#_x0000_t202" style="position:absolute;margin-left:145.2pt;margin-top:28.8pt;width:103.25pt;height:30.6pt;z-index:-25165568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" filled="f" stroked="f">
              <v:textbox inset="0,0,0,0">
                <w:txbxContent>
                  <w:p w14:paraId="48801D69" w14:textId="77777777" w:rsidR="00523375" w:rsidRDefault="00D828F5">
                    <w:pPr>
                      <w:spacing w:before="10"/>
                      <w:ind w:left="20" w:right="18"/>
                      <w:rPr>
                        <w:rFonts w:ascii="Times New Roman" w:hAnsi="Times New Roman"/>
                        <w:b/>
                      </w:rPr>
                    </w:pPr>
                    <w:r>
                      <w:rPr>
                        <w:rFonts w:ascii="Times New Roman" w:hAnsi="Times New Roman"/>
                        <w:b/>
                      </w:rPr>
                      <w:t>VISIÓN</w:t>
                    </w:r>
                    <w:r>
                      <w:rPr>
                        <w:rFonts w:ascii="Times New Roman" w:hAnsi="Times New Roman"/>
                        <w:b/>
                        <w:spacing w:val="-13"/>
                      </w:rPr>
                      <w:t xml:space="preserve"> </w:t>
                    </w:r>
                    <w:r>
                      <w:rPr>
                        <w:rFonts w:ascii="Times New Roman" w:hAnsi="Times New Roman"/>
                        <w:b/>
                      </w:rPr>
                      <w:t>ACADÉMICA ISSN: 3103-1536</w:t>
                    </w:r>
                  </w:p>
                </w:txbxContent>
              </v:textbox>
              <w10:wrap anchorx="page" anchory="page"/>
            </v:shape>
          </w:pict>
        </mc:Fallback>
      </mc:AlternateContent>
    </w:r>
    <w:r w:rsidR="00D828F5">
      <w:rPr>
        <w:noProof/>
      </w:rPr>
      <mc:AlternateContent>
        <mc:Choice Requires="wps">
          <w:drawing>
            <wp:anchor distT="0" distB="0" distL="0" distR="0" simplePos="0" relativeHeight="251657728" behindDoc="1" locked="0" layoutInCell="1" allowOverlap="1" wp14:anchorId="5A0F9AEF" wp14:editId="498683B1">
              <wp:simplePos x="0" y="0"/>
              <wp:positionH relativeFrom="page">
                <wp:posOffset>1816100</wp:posOffset>
              </wp:positionH>
              <wp:positionV relativeFrom="page">
                <wp:posOffset>812799</wp:posOffset>
              </wp:positionV>
              <wp:extent cx="467360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3600" cy="1270"/>
                      </a:xfrm>
                      <a:custGeom>
                        <a:avLst/>
                        <a:gdLst/>
                        <a:ahLst/>
                        <a:cxnLst/>
                        <a:rect l="l" t="t" r="r" b="b"/>
                        <a:pathLst>
                          <a:path w="4673600">
                            <a:moveTo>
                              <a:pt x="0" y="0"/>
                            </a:moveTo>
                            <a:lnTo>
                              <a:pt x="467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28EB9C" id="Graphic 2" o:spid="_x0000_s1026" style="position:absolute;margin-left:143pt;margin-top:64pt;width:368pt;height:.1pt;z-index:-251658752;visibility:visible;mso-wrap-style:square;mso-wrap-distance-left:0;mso-wrap-distance-top:0;mso-wrap-distance-right:0;mso-wrap-distance-bottom:0;mso-position-horizontal:absolute;mso-position-horizontal-relative:page;mso-position-vertical:absolute;mso-position-vertical-relative:page;v-text-anchor:top" coordsize="467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" path="m,l4673600,e" filled="f" strokeweight=".5pt">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36B2A"/>
    <w:multiLevelType w:val="multilevel"/>
    <w:tmpl w:val="091CE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B760A"/>
    <w:multiLevelType w:val="multilevel"/>
    <w:tmpl w:val="655CE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3E3E05"/>
    <w:multiLevelType w:val="hybridMultilevel"/>
    <w:tmpl w:val="F11082E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1E567B76"/>
    <w:multiLevelType w:val="multilevel"/>
    <w:tmpl w:val="6942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780443"/>
    <w:multiLevelType w:val="hybridMultilevel"/>
    <w:tmpl w:val="85C8EFC4"/>
    <w:lvl w:ilvl="0" w:tplc="88383EF4">
      <w:start w:val="1"/>
      <w:numFmt w:val="decimal"/>
      <w:lvlText w:val="%1."/>
      <w:lvlJc w:val="left"/>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2A17765D"/>
    <w:multiLevelType w:val="multilevel"/>
    <w:tmpl w:val="41665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454F28"/>
    <w:multiLevelType w:val="hybridMultilevel"/>
    <w:tmpl w:val="F556AFE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2B1D4578"/>
    <w:multiLevelType w:val="hybridMultilevel"/>
    <w:tmpl w:val="2C620B50"/>
    <w:lvl w:ilvl="0" w:tplc="DE342440">
      <w:start w:val="1"/>
      <w:numFmt w:val="lowerLetter"/>
      <w:lvlText w:val="(%1)"/>
      <w:lvlJc w:val="left"/>
      <w:pPr>
        <w:ind w:left="717" w:hanging="360"/>
      </w:pPr>
      <w:rPr>
        <w:rFonts w:hint="default"/>
      </w:rPr>
    </w:lvl>
    <w:lvl w:ilvl="1" w:tplc="300A0019" w:tentative="1">
      <w:start w:val="1"/>
      <w:numFmt w:val="lowerLetter"/>
      <w:lvlText w:val="%2."/>
      <w:lvlJc w:val="left"/>
      <w:pPr>
        <w:ind w:left="1437" w:hanging="360"/>
      </w:pPr>
    </w:lvl>
    <w:lvl w:ilvl="2" w:tplc="300A001B" w:tentative="1">
      <w:start w:val="1"/>
      <w:numFmt w:val="lowerRoman"/>
      <w:lvlText w:val="%3."/>
      <w:lvlJc w:val="right"/>
      <w:pPr>
        <w:ind w:left="2157" w:hanging="180"/>
      </w:pPr>
    </w:lvl>
    <w:lvl w:ilvl="3" w:tplc="300A000F" w:tentative="1">
      <w:start w:val="1"/>
      <w:numFmt w:val="decimal"/>
      <w:lvlText w:val="%4."/>
      <w:lvlJc w:val="left"/>
      <w:pPr>
        <w:ind w:left="2877" w:hanging="360"/>
      </w:pPr>
    </w:lvl>
    <w:lvl w:ilvl="4" w:tplc="300A0019" w:tentative="1">
      <w:start w:val="1"/>
      <w:numFmt w:val="lowerLetter"/>
      <w:lvlText w:val="%5."/>
      <w:lvlJc w:val="left"/>
      <w:pPr>
        <w:ind w:left="3597" w:hanging="360"/>
      </w:pPr>
    </w:lvl>
    <w:lvl w:ilvl="5" w:tplc="300A001B" w:tentative="1">
      <w:start w:val="1"/>
      <w:numFmt w:val="lowerRoman"/>
      <w:lvlText w:val="%6."/>
      <w:lvlJc w:val="right"/>
      <w:pPr>
        <w:ind w:left="4317" w:hanging="180"/>
      </w:pPr>
    </w:lvl>
    <w:lvl w:ilvl="6" w:tplc="300A000F" w:tentative="1">
      <w:start w:val="1"/>
      <w:numFmt w:val="decimal"/>
      <w:lvlText w:val="%7."/>
      <w:lvlJc w:val="left"/>
      <w:pPr>
        <w:ind w:left="5037" w:hanging="360"/>
      </w:pPr>
    </w:lvl>
    <w:lvl w:ilvl="7" w:tplc="300A0019" w:tentative="1">
      <w:start w:val="1"/>
      <w:numFmt w:val="lowerLetter"/>
      <w:lvlText w:val="%8."/>
      <w:lvlJc w:val="left"/>
      <w:pPr>
        <w:ind w:left="5757" w:hanging="360"/>
      </w:pPr>
    </w:lvl>
    <w:lvl w:ilvl="8" w:tplc="300A001B" w:tentative="1">
      <w:start w:val="1"/>
      <w:numFmt w:val="lowerRoman"/>
      <w:lvlText w:val="%9."/>
      <w:lvlJc w:val="right"/>
      <w:pPr>
        <w:ind w:left="6477" w:hanging="180"/>
      </w:pPr>
    </w:lvl>
  </w:abstractNum>
  <w:abstractNum w:abstractNumId="8" w15:restartNumberingAfterBreak="0">
    <w:nsid w:val="367027C1"/>
    <w:multiLevelType w:val="multilevel"/>
    <w:tmpl w:val="B28AC89A"/>
    <w:lvl w:ilvl="0">
      <w:start w:val="1"/>
      <w:numFmt w:val="decimal"/>
      <w:lvlText w:val="%1."/>
      <w:lvlJc w:val="left"/>
      <w:pPr>
        <w:ind w:left="3427" w:hanging="396"/>
        <w:jc w:val="right"/>
      </w:pPr>
      <w:rPr>
        <w:rFonts w:ascii="Times New Roman" w:eastAsia="Times New Roman" w:hAnsi="Times New Roman" w:cs="Times New Roman" w:hint="default"/>
        <w:b/>
        <w:bCs/>
        <w:i w:val="0"/>
        <w:iCs w:val="0"/>
        <w:spacing w:val="0"/>
        <w:w w:val="102"/>
        <w:sz w:val="22"/>
        <w:szCs w:val="22"/>
        <w:lang w:val="es-ES" w:eastAsia="en-US" w:bidi="ar-SA"/>
      </w:rPr>
    </w:lvl>
    <w:lvl w:ilvl="1">
      <w:start w:val="1"/>
      <w:numFmt w:val="decimal"/>
      <w:lvlText w:val="%1.%2."/>
      <w:lvlJc w:val="left"/>
      <w:pPr>
        <w:ind w:left="3152" w:hanging="396"/>
        <w:jc w:val="right"/>
      </w:pPr>
      <w:rPr>
        <w:rFonts w:ascii="Times New Roman" w:eastAsia="Times New Roman" w:hAnsi="Times New Roman" w:cs="Times New Roman" w:hint="default"/>
        <w:b/>
        <w:bCs/>
        <w:i w:val="0"/>
        <w:iCs w:val="0"/>
        <w:spacing w:val="0"/>
        <w:w w:val="102"/>
        <w:sz w:val="22"/>
        <w:szCs w:val="22"/>
        <w:lang w:val="es-ES" w:eastAsia="en-US" w:bidi="ar-SA"/>
      </w:rPr>
    </w:lvl>
    <w:lvl w:ilvl="2">
      <w:numFmt w:val="bullet"/>
      <w:lvlText w:val="•"/>
      <w:lvlJc w:val="left"/>
      <w:pPr>
        <w:ind w:left="4080" w:hanging="396"/>
      </w:pPr>
      <w:rPr>
        <w:rFonts w:hint="default"/>
        <w:lang w:val="es-ES" w:eastAsia="en-US" w:bidi="ar-SA"/>
      </w:rPr>
    </w:lvl>
    <w:lvl w:ilvl="3">
      <w:numFmt w:val="bullet"/>
      <w:lvlText w:val="•"/>
      <w:lvlJc w:val="left"/>
      <w:pPr>
        <w:ind w:left="4740" w:hanging="396"/>
      </w:pPr>
      <w:rPr>
        <w:rFonts w:hint="default"/>
        <w:lang w:val="es-ES" w:eastAsia="en-US" w:bidi="ar-SA"/>
      </w:rPr>
    </w:lvl>
    <w:lvl w:ilvl="4">
      <w:numFmt w:val="bullet"/>
      <w:lvlText w:val="•"/>
      <w:lvlJc w:val="left"/>
      <w:pPr>
        <w:ind w:left="5400" w:hanging="396"/>
      </w:pPr>
      <w:rPr>
        <w:rFonts w:hint="default"/>
        <w:lang w:val="es-ES" w:eastAsia="en-US" w:bidi="ar-SA"/>
      </w:rPr>
    </w:lvl>
    <w:lvl w:ilvl="5">
      <w:numFmt w:val="bullet"/>
      <w:lvlText w:val="•"/>
      <w:lvlJc w:val="left"/>
      <w:pPr>
        <w:ind w:left="6060" w:hanging="396"/>
      </w:pPr>
      <w:rPr>
        <w:rFonts w:hint="default"/>
        <w:lang w:val="es-ES" w:eastAsia="en-US" w:bidi="ar-SA"/>
      </w:rPr>
    </w:lvl>
    <w:lvl w:ilvl="6">
      <w:numFmt w:val="bullet"/>
      <w:lvlText w:val="•"/>
      <w:lvlJc w:val="left"/>
      <w:pPr>
        <w:ind w:left="6720" w:hanging="396"/>
      </w:pPr>
      <w:rPr>
        <w:rFonts w:hint="default"/>
        <w:lang w:val="es-ES" w:eastAsia="en-US" w:bidi="ar-SA"/>
      </w:rPr>
    </w:lvl>
    <w:lvl w:ilvl="7">
      <w:numFmt w:val="bullet"/>
      <w:lvlText w:val="•"/>
      <w:lvlJc w:val="left"/>
      <w:pPr>
        <w:ind w:left="7380" w:hanging="396"/>
      </w:pPr>
      <w:rPr>
        <w:rFonts w:hint="default"/>
        <w:lang w:val="es-ES" w:eastAsia="en-US" w:bidi="ar-SA"/>
      </w:rPr>
    </w:lvl>
    <w:lvl w:ilvl="8">
      <w:numFmt w:val="bullet"/>
      <w:lvlText w:val="•"/>
      <w:lvlJc w:val="left"/>
      <w:pPr>
        <w:ind w:left="8040" w:hanging="396"/>
      </w:pPr>
      <w:rPr>
        <w:rFonts w:hint="default"/>
        <w:lang w:val="es-ES" w:eastAsia="en-US" w:bidi="ar-SA"/>
      </w:rPr>
    </w:lvl>
  </w:abstractNum>
  <w:abstractNum w:abstractNumId="9" w15:restartNumberingAfterBreak="0">
    <w:nsid w:val="42115644"/>
    <w:multiLevelType w:val="multilevel"/>
    <w:tmpl w:val="928A5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0F302E"/>
    <w:multiLevelType w:val="multilevel"/>
    <w:tmpl w:val="19285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75419B"/>
    <w:multiLevelType w:val="multilevel"/>
    <w:tmpl w:val="2E247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9266E9"/>
    <w:multiLevelType w:val="hybridMultilevel"/>
    <w:tmpl w:val="F12E155A"/>
    <w:lvl w:ilvl="0" w:tplc="3F46D6C6">
      <w:start w:val="15"/>
      <w:numFmt w:val="bullet"/>
      <w:lvlText w:val=""/>
      <w:lvlJc w:val="left"/>
      <w:pPr>
        <w:ind w:left="720" w:hanging="360"/>
      </w:pPr>
      <w:rPr>
        <w:rFonts w:ascii="Arial" w:eastAsia="Arial MT"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4E416A51"/>
    <w:multiLevelType w:val="hybridMultilevel"/>
    <w:tmpl w:val="DBA4C3F2"/>
    <w:lvl w:ilvl="0" w:tplc="300A0017">
      <w:start w:val="1"/>
      <w:numFmt w:val="lowerLetter"/>
      <w:lvlText w:val="%1)"/>
      <w:lvlJc w:val="left"/>
      <w:pPr>
        <w:ind w:left="644" w:hanging="360"/>
      </w:pPr>
    </w:lvl>
    <w:lvl w:ilvl="1" w:tplc="300A0019" w:tentative="1">
      <w:start w:val="1"/>
      <w:numFmt w:val="lowerLetter"/>
      <w:lvlText w:val="%2."/>
      <w:lvlJc w:val="left"/>
      <w:pPr>
        <w:ind w:left="1364" w:hanging="360"/>
      </w:pPr>
    </w:lvl>
    <w:lvl w:ilvl="2" w:tplc="300A001B" w:tentative="1">
      <w:start w:val="1"/>
      <w:numFmt w:val="lowerRoman"/>
      <w:lvlText w:val="%3."/>
      <w:lvlJc w:val="right"/>
      <w:pPr>
        <w:ind w:left="2084" w:hanging="180"/>
      </w:pPr>
    </w:lvl>
    <w:lvl w:ilvl="3" w:tplc="300A000F" w:tentative="1">
      <w:start w:val="1"/>
      <w:numFmt w:val="decimal"/>
      <w:lvlText w:val="%4."/>
      <w:lvlJc w:val="left"/>
      <w:pPr>
        <w:ind w:left="2804" w:hanging="360"/>
      </w:pPr>
    </w:lvl>
    <w:lvl w:ilvl="4" w:tplc="300A0019" w:tentative="1">
      <w:start w:val="1"/>
      <w:numFmt w:val="lowerLetter"/>
      <w:lvlText w:val="%5."/>
      <w:lvlJc w:val="left"/>
      <w:pPr>
        <w:ind w:left="3524" w:hanging="360"/>
      </w:pPr>
    </w:lvl>
    <w:lvl w:ilvl="5" w:tplc="300A001B" w:tentative="1">
      <w:start w:val="1"/>
      <w:numFmt w:val="lowerRoman"/>
      <w:lvlText w:val="%6."/>
      <w:lvlJc w:val="right"/>
      <w:pPr>
        <w:ind w:left="4244" w:hanging="180"/>
      </w:pPr>
    </w:lvl>
    <w:lvl w:ilvl="6" w:tplc="300A000F" w:tentative="1">
      <w:start w:val="1"/>
      <w:numFmt w:val="decimal"/>
      <w:lvlText w:val="%7."/>
      <w:lvlJc w:val="left"/>
      <w:pPr>
        <w:ind w:left="4964" w:hanging="360"/>
      </w:pPr>
    </w:lvl>
    <w:lvl w:ilvl="7" w:tplc="300A0019" w:tentative="1">
      <w:start w:val="1"/>
      <w:numFmt w:val="lowerLetter"/>
      <w:lvlText w:val="%8."/>
      <w:lvlJc w:val="left"/>
      <w:pPr>
        <w:ind w:left="5684" w:hanging="360"/>
      </w:pPr>
    </w:lvl>
    <w:lvl w:ilvl="8" w:tplc="300A001B" w:tentative="1">
      <w:start w:val="1"/>
      <w:numFmt w:val="lowerRoman"/>
      <w:lvlText w:val="%9."/>
      <w:lvlJc w:val="right"/>
      <w:pPr>
        <w:ind w:left="6404" w:hanging="180"/>
      </w:pPr>
    </w:lvl>
  </w:abstractNum>
  <w:abstractNum w:abstractNumId="14" w15:restartNumberingAfterBreak="0">
    <w:nsid w:val="54C6041B"/>
    <w:multiLevelType w:val="multilevel"/>
    <w:tmpl w:val="5D4E1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F51A40"/>
    <w:multiLevelType w:val="multilevel"/>
    <w:tmpl w:val="6524A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7437058">
    <w:abstractNumId w:val="8"/>
  </w:num>
  <w:num w:numId="2" w16cid:durableId="654798790">
    <w:abstractNumId w:val="6"/>
  </w:num>
  <w:num w:numId="3" w16cid:durableId="1939676543">
    <w:abstractNumId w:val="4"/>
  </w:num>
  <w:num w:numId="4" w16cid:durableId="794443380">
    <w:abstractNumId w:val="2"/>
  </w:num>
  <w:num w:numId="5" w16cid:durableId="884102788">
    <w:abstractNumId w:val="12"/>
  </w:num>
  <w:num w:numId="6" w16cid:durableId="1796286225">
    <w:abstractNumId w:val="0"/>
  </w:num>
  <w:num w:numId="7" w16cid:durableId="134837395">
    <w:abstractNumId w:val="3"/>
  </w:num>
  <w:num w:numId="8" w16cid:durableId="372848079">
    <w:abstractNumId w:val="14"/>
  </w:num>
  <w:num w:numId="9" w16cid:durableId="1308629591">
    <w:abstractNumId w:val="13"/>
  </w:num>
  <w:num w:numId="10" w16cid:durableId="1073359075">
    <w:abstractNumId w:val="5"/>
  </w:num>
  <w:num w:numId="11" w16cid:durableId="514461472">
    <w:abstractNumId w:val="9"/>
  </w:num>
  <w:num w:numId="12" w16cid:durableId="1008866718">
    <w:abstractNumId w:val="15"/>
  </w:num>
  <w:num w:numId="13" w16cid:durableId="42826272">
    <w:abstractNumId w:val="11"/>
  </w:num>
  <w:num w:numId="14" w16cid:durableId="1427725643">
    <w:abstractNumId w:val="10"/>
  </w:num>
  <w:num w:numId="15" w16cid:durableId="1350180264">
    <w:abstractNumId w:val="1"/>
  </w:num>
  <w:num w:numId="16" w16cid:durableId="6682132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375"/>
    <w:rsid w:val="00001205"/>
    <w:rsid w:val="000015EE"/>
    <w:rsid w:val="00002426"/>
    <w:rsid w:val="00014FDB"/>
    <w:rsid w:val="00027879"/>
    <w:rsid w:val="000308F2"/>
    <w:rsid w:val="00031063"/>
    <w:rsid w:val="000312AD"/>
    <w:rsid w:val="00044ACE"/>
    <w:rsid w:val="00063D7B"/>
    <w:rsid w:val="000658A7"/>
    <w:rsid w:val="000662E1"/>
    <w:rsid w:val="0007408D"/>
    <w:rsid w:val="00094B22"/>
    <w:rsid w:val="0009506E"/>
    <w:rsid w:val="000B06A5"/>
    <w:rsid w:val="000B0F97"/>
    <w:rsid w:val="000B37EC"/>
    <w:rsid w:val="000C4850"/>
    <w:rsid w:val="000E37D0"/>
    <w:rsid w:val="000E5F3B"/>
    <w:rsid w:val="000F08FC"/>
    <w:rsid w:val="000F146B"/>
    <w:rsid w:val="000F185B"/>
    <w:rsid w:val="0011341B"/>
    <w:rsid w:val="0011502E"/>
    <w:rsid w:val="00117189"/>
    <w:rsid w:val="0012470F"/>
    <w:rsid w:val="00126C6F"/>
    <w:rsid w:val="00131DEE"/>
    <w:rsid w:val="00135D23"/>
    <w:rsid w:val="0016747C"/>
    <w:rsid w:val="001753F7"/>
    <w:rsid w:val="00190108"/>
    <w:rsid w:val="001979A1"/>
    <w:rsid w:val="001A2AA2"/>
    <w:rsid w:val="001C5DFB"/>
    <w:rsid w:val="001E5E96"/>
    <w:rsid w:val="00201063"/>
    <w:rsid w:val="002034D8"/>
    <w:rsid w:val="00231225"/>
    <w:rsid w:val="00247097"/>
    <w:rsid w:val="00251D16"/>
    <w:rsid w:val="002724C2"/>
    <w:rsid w:val="00272915"/>
    <w:rsid w:val="0027693F"/>
    <w:rsid w:val="00284989"/>
    <w:rsid w:val="002C086D"/>
    <w:rsid w:val="002C53DA"/>
    <w:rsid w:val="002C7DAB"/>
    <w:rsid w:val="002D07A7"/>
    <w:rsid w:val="002D3CBE"/>
    <w:rsid w:val="002F5D4A"/>
    <w:rsid w:val="002F61AB"/>
    <w:rsid w:val="00304FA3"/>
    <w:rsid w:val="00312D54"/>
    <w:rsid w:val="0031634D"/>
    <w:rsid w:val="00317B50"/>
    <w:rsid w:val="00317ED5"/>
    <w:rsid w:val="003211E8"/>
    <w:rsid w:val="003268ED"/>
    <w:rsid w:val="003474D1"/>
    <w:rsid w:val="003638F2"/>
    <w:rsid w:val="00367FA2"/>
    <w:rsid w:val="00376E9D"/>
    <w:rsid w:val="003774A3"/>
    <w:rsid w:val="00394ECA"/>
    <w:rsid w:val="003A0240"/>
    <w:rsid w:val="003B00D0"/>
    <w:rsid w:val="003C1A03"/>
    <w:rsid w:val="003D1D26"/>
    <w:rsid w:val="003F3F90"/>
    <w:rsid w:val="003F419D"/>
    <w:rsid w:val="00400CED"/>
    <w:rsid w:val="00411B2C"/>
    <w:rsid w:val="00434219"/>
    <w:rsid w:val="00436C09"/>
    <w:rsid w:val="00445A9B"/>
    <w:rsid w:val="004610B8"/>
    <w:rsid w:val="0049789E"/>
    <w:rsid w:val="004A07B6"/>
    <w:rsid w:val="004C50FE"/>
    <w:rsid w:val="004C5183"/>
    <w:rsid w:val="004E2DFF"/>
    <w:rsid w:val="004E6266"/>
    <w:rsid w:val="0051627A"/>
    <w:rsid w:val="00523375"/>
    <w:rsid w:val="00541C95"/>
    <w:rsid w:val="00582B12"/>
    <w:rsid w:val="005844FE"/>
    <w:rsid w:val="00587000"/>
    <w:rsid w:val="00591BC7"/>
    <w:rsid w:val="005C4765"/>
    <w:rsid w:val="005D6EB1"/>
    <w:rsid w:val="005F6A3D"/>
    <w:rsid w:val="005F6F10"/>
    <w:rsid w:val="00615504"/>
    <w:rsid w:val="00616C3B"/>
    <w:rsid w:val="00633813"/>
    <w:rsid w:val="00637D0A"/>
    <w:rsid w:val="0064739B"/>
    <w:rsid w:val="00656422"/>
    <w:rsid w:val="00667E8A"/>
    <w:rsid w:val="0068117F"/>
    <w:rsid w:val="006A14B1"/>
    <w:rsid w:val="006A2844"/>
    <w:rsid w:val="006C58FB"/>
    <w:rsid w:val="006E48B9"/>
    <w:rsid w:val="00715848"/>
    <w:rsid w:val="00717FEE"/>
    <w:rsid w:val="00737018"/>
    <w:rsid w:val="00740388"/>
    <w:rsid w:val="00753E24"/>
    <w:rsid w:val="00763255"/>
    <w:rsid w:val="00776A5D"/>
    <w:rsid w:val="00776C46"/>
    <w:rsid w:val="007775E5"/>
    <w:rsid w:val="00780931"/>
    <w:rsid w:val="007863DD"/>
    <w:rsid w:val="00791065"/>
    <w:rsid w:val="007A2337"/>
    <w:rsid w:val="007A5EF3"/>
    <w:rsid w:val="007C1D32"/>
    <w:rsid w:val="007E6313"/>
    <w:rsid w:val="007E67AF"/>
    <w:rsid w:val="008020C5"/>
    <w:rsid w:val="008031D6"/>
    <w:rsid w:val="00833C67"/>
    <w:rsid w:val="0083573E"/>
    <w:rsid w:val="00844EFF"/>
    <w:rsid w:val="00846ED2"/>
    <w:rsid w:val="00856CC0"/>
    <w:rsid w:val="00860C7F"/>
    <w:rsid w:val="0088076B"/>
    <w:rsid w:val="00897410"/>
    <w:rsid w:val="008B69CB"/>
    <w:rsid w:val="008C0A2D"/>
    <w:rsid w:val="008D4153"/>
    <w:rsid w:val="008E43E4"/>
    <w:rsid w:val="008F1A0A"/>
    <w:rsid w:val="008F4504"/>
    <w:rsid w:val="00912C5F"/>
    <w:rsid w:val="00953180"/>
    <w:rsid w:val="00955339"/>
    <w:rsid w:val="0096113C"/>
    <w:rsid w:val="009704CE"/>
    <w:rsid w:val="00983DF8"/>
    <w:rsid w:val="00987AD6"/>
    <w:rsid w:val="00992A31"/>
    <w:rsid w:val="009A2CA1"/>
    <w:rsid w:val="009A73F9"/>
    <w:rsid w:val="009B5A12"/>
    <w:rsid w:val="009B7F53"/>
    <w:rsid w:val="009C150A"/>
    <w:rsid w:val="009D0085"/>
    <w:rsid w:val="009D430D"/>
    <w:rsid w:val="009E428B"/>
    <w:rsid w:val="009E4C07"/>
    <w:rsid w:val="009E4FB0"/>
    <w:rsid w:val="009E780A"/>
    <w:rsid w:val="009F40AB"/>
    <w:rsid w:val="00A07E28"/>
    <w:rsid w:val="00A21E39"/>
    <w:rsid w:val="00A310B0"/>
    <w:rsid w:val="00A32B45"/>
    <w:rsid w:val="00A43B69"/>
    <w:rsid w:val="00A52BFA"/>
    <w:rsid w:val="00A66759"/>
    <w:rsid w:val="00A7179C"/>
    <w:rsid w:val="00A748D1"/>
    <w:rsid w:val="00A816E4"/>
    <w:rsid w:val="00A953FC"/>
    <w:rsid w:val="00AA0750"/>
    <w:rsid w:val="00AA5744"/>
    <w:rsid w:val="00AB72C8"/>
    <w:rsid w:val="00AB74EE"/>
    <w:rsid w:val="00AC4222"/>
    <w:rsid w:val="00AE7B64"/>
    <w:rsid w:val="00AF58F6"/>
    <w:rsid w:val="00AF6DBB"/>
    <w:rsid w:val="00AF78E0"/>
    <w:rsid w:val="00B12FD9"/>
    <w:rsid w:val="00B15EC1"/>
    <w:rsid w:val="00B2089D"/>
    <w:rsid w:val="00B31832"/>
    <w:rsid w:val="00B32C9B"/>
    <w:rsid w:val="00B57DE1"/>
    <w:rsid w:val="00B631AB"/>
    <w:rsid w:val="00B67769"/>
    <w:rsid w:val="00B80A72"/>
    <w:rsid w:val="00B915F3"/>
    <w:rsid w:val="00B94167"/>
    <w:rsid w:val="00B96722"/>
    <w:rsid w:val="00BD2C27"/>
    <w:rsid w:val="00BE71AB"/>
    <w:rsid w:val="00C078A6"/>
    <w:rsid w:val="00C23E7A"/>
    <w:rsid w:val="00C42456"/>
    <w:rsid w:val="00C86E10"/>
    <w:rsid w:val="00C947BE"/>
    <w:rsid w:val="00C94938"/>
    <w:rsid w:val="00CA3CF1"/>
    <w:rsid w:val="00CC196E"/>
    <w:rsid w:val="00CC3E05"/>
    <w:rsid w:val="00CC722C"/>
    <w:rsid w:val="00CC7CCF"/>
    <w:rsid w:val="00CE4A57"/>
    <w:rsid w:val="00D179B5"/>
    <w:rsid w:val="00D64803"/>
    <w:rsid w:val="00D81259"/>
    <w:rsid w:val="00D828F5"/>
    <w:rsid w:val="00D9009C"/>
    <w:rsid w:val="00D94004"/>
    <w:rsid w:val="00DC6076"/>
    <w:rsid w:val="00DD6EDB"/>
    <w:rsid w:val="00DE0DF8"/>
    <w:rsid w:val="00DF0CAB"/>
    <w:rsid w:val="00DF26E0"/>
    <w:rsid w:val="00DF4D72"/>
    <w:rsid w:val="00E0355D"/>
    <w:rsid w:val="00E078E6"/>
    <w:rsid w:val="00E21C20"/>
    <w:rsid w:val="00E313DB"/>
    <w:rsid w:val="00E43B53"/>
    <w:rsid w:val="00E60017"/>
    <w:rsid w:val="00E80A9A"/>
    <w:rsid w:val="00E81425"/>
    <w:rsid w:val="00EA46BE"/>
    <w:rsid w:val="00EC5A3F"/>
    <w:rsid w:val="00EE2A1A"/>
    <w:rsid w:val="00F0568A"/>
    <w:rsid w:val="00F06E59"/>
    <w:rsid w:val="00F1553D"/>
    <w:rsid w:val="00F25B56"/>
    <w:rsid w:val="00F320E3"/>
    <w:rsid w:val="00F36BA2"/>
    <w:rsid w:val="00F63499"/>
    <w:rsid w:val="00F76F46"/>
    <w:rsid w:val="00F8772C"/>
    <w:rsid w:val="00F94792"/>
    <w:rsid w:val="00FB3576"/>
    <w:rsid w:val="00FC30AF"/>
    <w:rsid w:val="00FC6564"/>
    <w:rsid w:val="00FD0B06"/>
    <w:rsid w:val="00FE3343"/>
    <w:rsid w:val="00FF1019"/>
    <w:rsid w:val="00FF701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A8F14"/>
  <w15:docId w15:val="{8E2E78C6-0694-46FA-9D5C-1BCA2FDA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2C8"/>
    <w:pPr>
      <w:spacing w:after="100" w:line="360" w:lineRule="auto"/>
      <w:jc w:val="both"/>
    </w:pPr>
    <w:rPr>
      <w:rFonts w:ascii="Arial" w:eastAsia="Arial MT" w:hAnsi="Arial" w:cs="Arial MT"/>
      <w:sz w:val="20"/>
      <w:lang w:val="es-ES"/>
    </w:rPr>
  </w:style>
  <w:style w:type="paragraph" w:styleId="Ttulo1">
    <w:name w:val="heading 1"/>
    <w:basedOn w:val="Normal"/>
    <w:uiPriority w:val="9"/>
    <w:qFormat/>
    <w:pPr>
      <w:ind w:left="143"/>
      <w:outlineLvl w:val="0"/>
    </w:pPr>
    <w:rPr>
      <w:rFonts w:eastAsia="Arial" w:cs="Arial"/>
      <w:b/>
      <w:bCs/>
      <w:szCs w:val="20"/>
    </w:rPr>
  </w:style>
  <w:style w:type="paragraph" w:styleId="Ttulo2">
    <w:name w:val="heading 2"/>
    <w:basedOn w:val="Normal"/>
    <w:link w:val="Ttulo2Car"/>
    <w:uiPriority w:val="9"/>
    <w:unhideWhenUsed/>
    <w:qFormat/>
    <w:pPr>
      <w:ind w:left="143"/>
      <w:outlineLvl w:val="1"/>
    </w:pPr>
    <w:rPr>
      <w:rFonts w:eastAsia="Arial" w:cs="Arial"/>
      <w:b/>
      <w:bCs/>
      <w:szCs w:val="20"/>
    </w:rPr>
  </w:style>
  <w:style w:type="paragraph" w:styleId="Ttulo3">
    <w:name w:val="heading 3"/>
    <w:basedOn w:val="Normal"/>
    <w:next w:val="Normal"/>
    <w:link w:val="Ttulo3Car"/>
    <w:uiPriority w:val="9"/>
    <w:semiHidden/>
    <w:unhideWhenUsed/>
    <w:qFormat/>
    <w:rsid w:val="00F06E5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F06E59"/>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AB72C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43"/>
    </w:pPr>
    <w:rPr>
      <w:szCs w:val="20"/>
    </w:rPr>
  </w:style>
  <w:style w:type="paragraph" w:styleId="Ttulo">
    <w:name w:val="Title"/>
    <w:basedOn w:val="Normal"/>
    <w:uiPriority w:val="10"/>
    <w:qFormat/>
    <w:pPr>
      <w:ind w:right="2"/>
      <w:jc w:val="center"/>
    </w:pPr>
    <w:rPr>
      <w:rFonts w:eastAsia="Arial" w:cs="Arial"/>
      <w:b/>
      <w:bCs/>
      <w:sz w:val="28"/>
      <w:szCs w:val="28"/>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001205"/>
    <w:pPr>
      <w:tabs>
        <w:tab w:val="center" w:pos="4252"/>
        <w:tab w:val="right" w:pos="8504"/>
      </w:tabs>
    </w:pPr>
  </w:style>
  <w:style w:type="character" w:customStyle="1" w:styleId="EncabezadoCar">
    <w:name w:val="Encabezado Car"/>
    <w:basedOn w:val="Fuentedeprrafopredeter"/>
    <w:link w:val="Encabezado"/>
    <w:uiPriority w:val="99"/>
    <w:rsid w:val="00001205"/>
    <w:rPr>
      <w:rFonts w:ascii="Arial MT" w:eastAsia="Arial MT" w:hAnsi="Arial MT" w:cs="Arial MT"/>
      <w:lang w:val="es-ES"/>
    </w:rPr>
  </w:style>
  <w:style w:type="paragraph" w:styleId="Piedepgina">
    <w:name w:val="footer"/>
    <w:basedOn w:val="Normal"/>
    <w:link w:val="PiedepginaCar"/>
    <w:uiPriority w:val="99"/>
    <w:unhideWhenUsed/>
    <w:rsid w:val="00001205"/>
    <w:pPr>
      <w:tabs>
        <w:tab w:val="center" w:pos="4252"/>
        <w:tab w:val="right" w:pos="8504"/>
      </w:tabs>
    </w:pPr>
  </w:style>
  <w:style w:type="character" w:customStyle="1" w:styleId="PiedepginaCar">
    <w:name w:val="Pie de página Car"/>
    <w:basedOn w:val="Fuentedeprrafopredeter"/>
    <w:link w:val="Piedepgina"/>
    <w:uiPriority w:val="99"/>
    <w:rsid w:val="00001205"/>
    <w:rPr>
      <w:rFonts w:ascii="Arial MT" w:eastAsia="Arial MT" w:hAnsi="Arial MT" w:cs="Arial MT"/>
      <w:lang w:val="es-ES"/>
    </w:rPr>
  </w:style>
  <w:style w:type="table" w:styleId="Tablaconcuadrcula">
    <w:name w:val="Table Grid"/>
    <w:basedOn w:val="Tablanormal"/>
    <w:uiPriority w:val="39"/>
    <w:rsid w:val="00F76F46"/>
    <w:pPr>
      <w:widowControl/>
      <w:autoSpaceDE/>
      <w:autoSpaceDN/>
    </w:pPr>
    <w:rPr>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F76F46"/>
    <w:rPr>
      <w:rFonts w:ascii="Arial" w:eastAsia="Arial" w:hAnsi="Arial" w:cs="Arial"/>
      <w:b/>
      <w:bCs/>
      <w:sz w:val="20"/>
      <w:szCs w:val="20"/>
      <w:lang w:val="es-ES"/>
    </w:rPr>
  </w:style>
  <w:style w:type="character" w:styleId="Hipervnculo">
    <w:name w:val="Hyperlink"/>
    <w:basedOn w:val="Fuentedeprrafopredeter"/>
    <w:uiPriority w:val="99"/>
    <w:unhideWhenUsed/>
    <w:rsid w:val="00F76F46"/>
    <w:rPr>
      <w:color w:val="0000FF" w:themeColor="hyperlink"/>
      <w:u w:val="single"/>
    </w:rPr>
  </w:style>
  <w:style w:type="character" w:styleId="Mencinsinresolver">
    <w:name w:val="Unresolved Mention"/>
    <w:basedOn w:val="Fuentedeprrafopredeter"/>
    <w:uiPriority w:val="99"/>
    <w:semiHidden/>
    <w:unhideWhenUsed/>
    <w:rsid w:val="00F76F46"/>
    <w:rPr>
      <w:color w:val="605E5C"/>
      <w:shd w:val="clear" w:color="auto" w:fill="E1DFDD"/>
    </w:rPr>
  </w:style>
  <w:style w:type="character" w:customStyle="1" w:styleId="Ttulo3Car">
    <w:name w:val="Título 3 Car"/>
    <w:basedOn w:val="Fuentedeprrafopredeter"/>
    <w:link w:val="Ttulo3"/>
    <w:uiPriority w:val="9"/>
    <w:semiHidden/>
    <w:rsid w:val="00F06E59"/>
    <w:rPr>
      <w:rFonts w:asciiTheme="majorHAnsi" w:eastAsiaTheme="majorEastAsia" w:hAnsiTheme="majorHAnsi" w:cstheme="majorBidi"/>
      <w:color w:val="243F60" w:themeColor="accent1" w:themeShade="7F"/>
      <w:sz w:val="24"/>
      <w:szCs w:val="24"/>
      <w:lang w:val="es-ES"/>
    </w:rPr>
  </w:style>
  <w:style w:type="character" w:customStyle="1" w:styleId="Ttulo4Car">
    <w:name w:val="Título 4 Car"/>
    <w:basedOn w:val="Fuentedeprrafopredeter"/>
    <w:link w:val="Ttulo4"/>
    <w:uiPriority w:val="9"/>
    <w:semiHidden/>
    <w:rsid w:val="00F06E59"/>
    <w:rPr>
      <w:rFonts w:asciiTheme="majorHAnsi" w:eastAsiaTheme="majorEastAsia" w:hAnsiTheme="majorHAnsi" w:cstheme="majorBidi"/>
      <w:i/>
      <w:iCs/>
      <w:color w:val="365F91" w:themeColor="accent1" w:themeShade="BF"/>
      <w:sz w:val="20"/>
      <w:lang w:val="es-ES"/>
    </w:rPr>
  </w:style>
  <w:style w:type="character" w:customStyle="1" w:styleId="Ttulo5Car">
    <w:name w:val="Título 5 Car"/>
    <w:basedOn w:val="Fuentedeprrafopredeter"/>
    <w:link w:val="Ttulo5"/>
    <w:uiPriority w:val="9"/>
    <w:semiHidden/>
    <w:rsid w:val="00AB72C8"/>
    <w:rPr>
      <w:rFonts w:asciiTheme="majorHAnsi" w:eastAsiaTheme="majorEastAsia" w:hAnsiTheme="majorHAnsi" w:cstheme="majorBidi"/>
      <w:color w:val="365F91" w:themeColor="accent1" w:themeShade="BF"/>
      <w:sz w:val="20"/>
      <w:lang w:val="es-ES"/>
    </w:rPr>
  </w:style>
  <w:style w:type="paragraph" w:styleId="Descripcin">
    <w:name w:val="caption"/>
    <w:aliases w:val="Gráficos"/>
    <w:basedOn w:val="Normal"/>
    <w:next w:val="Normal"/>
    <w:uiPriority w:val="35"/>
    <w:unhideWhenUsed/>
    <w:qFormat/>
    <w:rsid w:val="002C53DA"/>
    <w:rPr>
      <w:b/>
      <w:iCs/>
      <w:szCs w:val="18"/>
    </w:rPr>
  </w:style>
  <w:style w:type="character" w:styleId="Textoennegrita">
    <w:name w:val="Strong"/>
    <w:basedOn w:val="Fuentedeprrafopredeter"/>
    <w:uiPriority w:val="22"/>
    <w:qFormat/>
    <w:rsid w:val="002C53DA"/>
    <w:rPr>
      <w:b/>
      <w:bCs/>
    </w:rPr>
  </w:style>
  <w:style w:type="table" w:customStyle="1" w:styleId="Estilo1">
    <w:name w:val="Estilo1"/>
    <w:basedOn w:val="Tablanormal"/>
    <w:uiPriority w:val="99"/>
    <w:rsid w:val="002C53DA"/>
    <w:pPr>
      <w:widowControl/>
      <w:autoSpaceDE/>
      <w:autoSpaceDN/>
    </w:pPr>
    <w:tblPr>
      <w:tblBorders>
        <w:top w:val="single" w:sz="4" w:space="0" w:color="auto"/>
        <w:bottom w:val="single" w:sz="4" w:space="0" w:color="auto"/>
      </w:tblBorders>
    </w:tblPr>
    <w:tblStylePr w:type="firstRow">
      <w:pPr>
        <w:jc w:val="center"/>
      </w:pPr>
      <w:tblPr/>
      <w:tcPr>
        <w:tcBorders>
          <w:bottom w:val="single" w:sz="4" w:space="0" w:color="auto"/>
        </w:tcBorders>
        <w:vAlign w:val="center"/>
      </w:tcPr>
    </w:tblStylePr>
  </w:style>
  <w:style w:type="paragraph" w:styleId="NormalWeb">
    <w:name w:val="Normal (Web)"/>
    <w:basedOn w:val="Normal"/>
    <w:uiPriority w:val="99"/>
    <w:unhideWhenUsed/>
    <w:rsid w:val="002C53DA"/>
    <w:pPr>
      <w:widowControl/>
      <w:autoSpaceDE/>
      <w:autoSpaceDN/>
      <w:spacing w:before="100" w:beforeAutospacing="1" w:afterAutospacing="1" w:line="240" w:lineRule="auto"/>
      <w:jc w:val="left"/>
    </w:pPr>
    <w:rPr>
      <w:rFonts w:ascii="Times New Roman" w:eastAsia="Times New Roman" w:hAnsi="Times New Roman" w:cs="Times New Roman"/>
      <w:sz w:val="24"/>
      <w:szCs w:val="24"/>
      <w:lang w:val="es-EC" w:eastAsia="es-EC"/>
    </w:rPr>
  </w:style>
  <w:style w:type="paragraph" w:styleId="Sinespaciado">
    <w:name w:val="No Spacing"/>
    <w:uiPriority w:val="1"/>
    <w:qFormat/>
    <w:rsid w:val="00CE4A57"/>
    <w:pPr>
      <w:widowControl/>
      <w:autoSpaceDE/>
      <w:autoSpaceDN/>
    </w:pPr>
    <w:rPr>
      <w:lang w:val="es-EC"/>
    </w:rPr>
  </w:style>
  <w:style w:type="character" w:styleId="nfasis">
    <w:name w:val="Emphasis"/>
    <w:basedOn w:val="Fuentedeprrafopredeter"/>
    <w:uiPriority w:val="20"/>
    <w:qFormat/>
    <w:rsid w:val="005F6F10"/>
    <w:rPr>
      <w:i/>
      <w:iCs/>
    </w:rPr>
  </w:style>
  <w:style w:type="character" w:styleId="Hipervnculovisitado">
    <w:name w:val="FollowedHyperlink"/>
    <w:basedOn w:val="Fuentedeprrafopredeter"/>
    <w:uiPriority w:val="99"/>
    <w:semiHidden/>
    <w:unhideWhenUsed/>
    <w:rsid w:val="00A748D1"/>
    <w:rPr>
      <w:color w:val="800080" w:themeColor="followedHyperlink"/>
      <w:u w:val="single"/>
    </w:rPr>
  </w:style>
  <w:style w:type="table" w:styleId="Tablanormal2">
    <w:name w:val="Plain Table 2"/>
    <w:basedOn w:val="Tablanormal"/>
    <w:uiPriority w:val="42"/>
    <w:rsid w:val="00860C7F"/>
    <w:pPr>
      <w:widowControl/>
      <w:autoSpaceDE/>
      <w:autoSpaceDN/>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5668">
      <w:bodyDiv w:val="1"/>
      <w:marLeft w:val="0"/>
      <w:marRight w:val="0"/>
      <w:marTop w:val="0"/>
      <w:marBottom w:val="0"/>
      <w:divBdr>
        <w:top w:val="none" w:sz="0" w:space="0" w:color="auto"/>
        <w:left w:val="none" w:sz="0" w:space="0" w:color="auto"/>
        <w:bottom w:val="none" w:sz="0" w:space="0" w:color="auto"/>
        <w:right w:val="none" w:sz="0" w:space="0" w:color="auto"/>
      </w:divBdr>
    </w:div>
    <w:div w:id="28460127">
      <w:bodyDiv w:val="1"/>
      <w:marLeft w:val="0"/>
      <w:marRight w:val="0"/>
      <w:marTop w:val="0"/>
      <w:marBottom w:val="0"/>
      <w:divBdr>
        <w:top w:val="none" w:sz="0" w:space="0" w:color="auto"/>
        <w:left w:val="none" w:sz="0" w:space="0" w:color="auto"/>
        <w:bottom w:val="none" w:sz="0" w:space="0" w:color="auto"/>
        <w:right w:val="none" w:sz="0" w:space="0" w:color="auto"/>
      </w:divBdr>
    </w:div>
    <w:div w:id="44990148">
      <w:bodyDiv w:val="1"/>
      <w:marLeft w:val="0"/>
      <w:marRight w:val="0"/>
      <w:marTop w:val="0"/>
      <w:marBottom w:val="0"/>
      <w:divBdr>
        <w:top w:val="none" w:sz="0" w:space="0" w:color="auto"/>
        <w:left w:val="none" w:sz="0" w:space="0" w:color="auto"/>
        <w:bottom w:val="none" w:sz="0" w:space="0" w:color="auto"/>
        <w:right w:val="none" w:sz="0" w:space="0" w:color="auto"/>
      </w:divBdr>
    </w:div>
    <w:div w:id="133572159">
      <w:bodyDiv w:val="1"/>
      <w:marLeft w:val="0"/>
      <w:marRight w:val="0"/>
      <w:marTop w:val="0"/>
      <w:marBottom w:val="0"/>
      <w:divBdr>
        <w:top w:val="none" w:sz="0" w:space="0" w:color="auto"/>
        <w:left w:val="none" w:sz="0" w:space="0" w:color="auto"/>
        <w:bottom w:val="none" w:sz="0" w:space="0" w:color="auto"/>
        <w:right w:val="none" w:sz="0" w:space="0" w:color="auto"/>
      </w:divBdr>
    </w:div>
    <w:div w:id="165556902">
      <w:bodyDiv w:val="1"/>
      <w:marLeft w:val="0"/>
      <w:marRight w:val="0"/>
      <w:marTop w:val="0"/>
      <w:marBottom w:val="0"/>
      <w:divBdr>
        <w:top w:val="none" w:sz="0" w:space="0" w:color="auto"/>
        <w:left w:val="none" w:sz="0" w:space="0" w:color="auto"/>
        <w:bottom w:val="none" w:sz="0" w:space="0" w:color="auto"/>
        <w:right w:val="none" w:sz="0" w:space="0" w:color="auto"/>
      </w:divBdr>
    </w:div>
    <w:div w:id="328750691">
      <w:bodyDiv w:val="1"/>
      <w:marLeft w:val="0"/>
      <w:marRight w:val="0"/>
      <w:marTop w:val="0"/>
      <w:marBottom w:val="0"/>
      <w:divBdr>
        <w:top w:val="none" w:sz="0" w:space="0" w:color="auto"/>
        <w:left w:val="none" w:sz="0" w:space="0" w:color="auto"/>
        <w:bottom w:val="none" w:sz="0" w:space="0" w:color="auto"/>
        <w:right w:val="none" w:sz="0" w:space="0" w:color="auto"/>
      </w:divBdr>
    </w:div>
    <w:div w:id="348723895">
      <w:bodyDiv w:val="1"/>
      <w:marLeft w:val="0"/>
      <w:marRight w:val="0"/>
      <w:marTop w:val="0"/>
      <w:marBottom w:val="0"/>
      <w:divBdr>
        <w:top w:val="none" w:sz="0" w:space="0" w:color="auto"/>
        <w:left w:val="none" w:sz="0" w:space="0" w:color="auto"/>
        <w:bottom w:val="none" w:sz="0" w:space="0" w:color="auto"/>
        <w:right w:val="none" w:sz="0" w:space="0" w:color="auto"/>
      </w:divBdr>
    </w:div>
    <w:div w:id="405959555">
      <w:bodyDiv w:val="1"/>
      <w:marLeft w:val="0"/>
      <w:marRight w:val="0"/>
      <w:marTop w:val="0"/>
      <w:marBottom w:val="0"/>
      <w:divBdr>
        <w:top w:val="none" w:sz="0" w:space="0" w:color="auto"/>
        <w:left w:val="none" w:sz="0" w:space="0" w:color="auto"/>
        <w:bottom w:val="none" w:sz="0" w:space="0" w:color="auto"/>
        <w:right w:val="none" w:sz="0" w:space="0" w:color="auto"/>
      </w:divBdr>
    </w:div>
    <w:div w:id="413819199">
      <w:bodyDiv w:val="1"/>
      <w:marLeft w:val="0"/>
      <w:marRight w:val="0"/>
      <w:marTop w:val="0"/>
      <w:marBottom w:val="0"/>
      <w:divBdr>
        <w:top w:val="none" w:sz="0" w:space="0" w:color="auto"/>
        <w:left w:val="none" w:sz="0" w:space="0" w:color="auto"/>
        <w:bottom w:val="none" w:sz="0" w:space="0" w:color="auto"/>
        <w:right w:val="none" w:sz="0" w:space="0" w:color="auto"/>
      </w:divBdr>
    </w:div>
    <w:div w:id="562450671">
      <w:bodyDiv w:val="1"/>
      <w:marLeft w:val="0"/>
      <w:marRight w:val="0"/>
      <w:marTop w:val="0"/>
      <w:marBottom w:val="0"/>
      <w:divBdr>
        <w:top w:val="none" w:sz="0" w:space="0" w:color="auto"/>
        <w:left w:val="none" w:sz="0" w:space="0" w:color="auto"/>
        <w:bottom w:val="none" w:sz="0" w:space="0" w:color="auto"/>
        <w:right w:val="none" w:sz="0" w:space="0" w:color="auto"/>
      </w:divBdr>
    </w:div>
    <w:div w:id="586035554">
      <w:bodyDiv w:val="1"/>
      <w:marLeft w:val="0"/>
      <w:marRight w:val="0"/>
      <w:marTop w:val="0"/>
      <w:marBottom w:val="0"/>
      <w:divBdr>
        <w:top w:val="none" w:sz="0" w:space="0" w:color="auto"/>
        <w:left w:val="none" w:sz="0" w:space="0" w:color="auto"/>
        <w:bottom w:val="none" w:sz="0" w:space="0" w:color="auto"/>
        <w:right w:val="none" w:sz="0" w:space="0" w:color="auto"/>
      </w:divBdr>
    </w:div>
    <w:div w:id="586841592">
      <w:bodyDiv w:val="1"/>
      <w:marLeft w:val="0"/>
      <w:marRight w:val="0"/>
      <w:marTop w:val="0"/>
      <w:marBottom w:val="0"/>
      <w:divBdr>
        <w:top w:val="none" w:sz="0" w:space="0" w:color="auto"/>
        <w:left w:val="none" w:sz="0" w:space="0" w:color="auto"/>
        <w:bottom w:val="none" w:sz="0" w:space="0" w:color="auto"/>
        <w:right w:val="none" w:sz="0" w:space="0" w:color="auto"/>
      </w:divBdr>
    </w:div>
    <w:div w:id="644435614">
      <w:bodyDiv w:val="1"/>
      <w:marLeft w:val="0"/>
      <w:marRight w:val="0"/>
      <w:marTop w:val="0"/>
      <w:marBottom w:val="0"/>
      <w:divBdr>
        <w:top w:val="none" w:sz="0" w:space="0" w:color="auto"/>
        <w:left w:val="none" w:sz="0" w:space="0" w:color="auto"/>
        <w:bottom w:val="none" w:sz="0" w:space="0" w:color="auto"/>
        <w:right w:val="none" w:sz="0" w:space="0" w:color="auto"/>
      </w:divBdr>
    </w:div>
    <w:div w:id="686180594">
      <w:bodyDiv w:val="1"/>
      <w:marLeft w:val="0"/>
      <w:marRight w:val="0"/>
      <w:marTop w:val="0"/>
      <w:marBottom w:val="0"/>
      <w:divBdr>
        <w:top w:val="none" w:sz="0" w:space="0" w:color="auto"/>
        <w:left w:val="none" w:sz="0" w:space="0" w:color="auto"/>
        <w:bottom w:val="none" w:sz="0" w:space="0" w:color="auto"/>
        <w:right w:val="none" w:sz="0" w:space="0" w:color="auto"/>
      </w:divBdr>
    </w:div>
    <w:div w:id="690493253">
      <w:bodyDiv w:val="1"/>
      <w:marLeft w:val="0"/>
      <w:marRight w:val="0"/>
      <w:marTop w:val="0"/>
      <w:marBottom w:val="0"/>
      <w:divBdr>
        <w:top w:val="none" w:sz="0" w:space="0" w:color="auto"/>
        <w:left w:val="none" w:sz="0" w:space="0" w:color="auto"/>
        <w:bottom w:val="none" w:sz="0" w:space="0" w:color="auto"/>
        <w:right w:val="none" w:sz="0" w:space="0" w:color="auto"/>
      </w:divBdr>
    </w:div>
    <w:div w:id="725253672">
      <w:bodyDiv w:val="1"/>
      <w:marLeft w:val="0"/>
      <w:marRight w:val="0"/>
      <w:marTop w:val="0"/>
      <w:marBottom w:val="0"/>
      <w:divBdr>
        <w:top w:val="none" w:sz="0" w:space="0" w:color="auto"/>
        <w:left w:val="none" w:sz="0" w:space="0" w:color="auto"/>
        <w:bottom w:val="none" w:sz="0" w:space="0" w:color="auto"/>
        <w:right w:val="none" w:sz="0" w:space="0" w:color="auto"/>
      </w:divBdr>
    </w:div>
    <w:div w:id="854003699">
      <w:bodyDiv w:val="1"/>
      <w:marLeft w:val="0"/>
      <w:marRight w:val="0"/>
      <w:marTop w:val="0"/>
      <w:marBottom w:val="0"/>
      <w:divBdr>
        <w:top w:val="none" w:sz="0" w:space="0" w:color="auto"/>
        <w:left w:val="none" w:sz="0" w:space="0" w:color="auto"/>
        <w:bottom w:val="none" w:sz="0" w:space="0" w:color="auto"/>
        <w:right w:val="none" w:sz="0" w:space="0" w:color="auto"/>
      </w:divBdr>
    </w:div>
    <w:div w:id="939486252">
      <w:bodyDiv w:val="1"/>
      <w:marLeft w:val="0"/>
      <w:marRight w:val="0"/>
      <w:marTop w:val="0"/>
      <w:marBottom w:val="0"/>
      <w:divBdr>
        <w:top w:val="none" w:sz="0" w:space="0" w:color="auto"/>
        <w:left w:val="none" w:sz="0" w:space="0" w:color="auto"/>
        <w:bottom w:val="none" w:sz="0" w:space="0" w:color="auto"/>
        <w:right w:val="none" w:sz="0" w:space="0" w:color="auto"/>
      </w:divBdr>
    </w:div>
    <w:div w:id="967474002">
      <w:bodyDiv w:val="1"/>
      <w:marLeft w:val="0"/>
      <w:marRight w:val="0"/>
      <w:marTop w:val="0"/>
      <w:marBottom w:val="0"/>
      <w:divBdr>
        <w:top w:val="none" w:sz="0" w:space="0" w:color="auto"/>
        <w:left w:val="none" w:sz="0" w:space="0" w:color="auto"/>
        <w:bottom w:val="none" w:sz="0" w:space="0" w:color="auto"/>
        <w:right w:val="none" w:sz="0" w:space="0" w:color="auto"/>
      </w:divBdr>
      <w:divsChild>
        <w:div w:id="676079488">
          <w:marLeft w:val="0"/>
          <w:marRight w:val="0"/>
          <w:marTop w:val="0"/>
          <w:marBottom w:val="0"/>
          <w:divBdr>
            <w:top w:val="none" w:sz="0" w:space="0" w:color="auto"/>
            <w:left w:val="none" w:sz="0" w:space="0" w:color="auto"/>
            <w:bottom w:val="none" w:sz="0" w:space="0" w:color="auto"/>
            <w:right w:val="none" w:sz="0" w:space="0" w:color="auto"/>
          </w:divBdr>
          <w:divsChild>
            <w:div w:id="930701920">
              <w:marLeft w:val="0"/>
              <w:marRight w:val="0"/>
              <w:marTop w:val="0"/>
              <w:marBottom w:val="0"/>
              <w:divBdr>
                <w:top w:val="none" w:sz="0" w:space="0" w:color="auto"/>
                <w:left w:val="none" w:sz="0" w:space="0" w:color="auto"/>
                <w:bottom w:val="none" w:sz="0" w:space="0" w:color="auto"/>
                <w:right w:val="none" w:sz="0" w:space="0" w:color="auto"/>
              </w:divBdr>
              <w:divsChild>
                <w:div w:id="64188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683374">
      <w:bodyDiv w:val="1"/>
      <w:marLeft w:val="0"/>
      <w:marRight w:val="0"/>
      <w:marTop w:val="0"/>
      <w:marBottom w:val="0"/>
      <w:divBdr>
        <w:top w:val="none" w:sz="0" w:space="0" w:color="auto"/>
        <w:left w:val="none" w:sz="0" w:space="0" w:color="auto"/>
        <w:bottom w:val="none" w:sz="0" w:space="0" w:color="auto"/>
        <w:right w:val="none" w:sz="0" w:space="0" w:color="auto"/>
      </w:divBdr>
    </w:div>
    <w:div w:id="1095320885">
      <w:bodyDiv w:val="1"/>
      <w:marLeft w:val="0"/>
      <w:marRight w:val="0"/>
      <w:marTop w:val="0"/>
      <w:marBottom w:val="0"/>
      <w:divBdr>
        <w:top w:val="none" w:sz="0" w:space="0" w:color="auto"/>
        <w:left w:val="none" w:sz="0" w:space="0" w:color="auto"/>
        <w:bottom w:val="none" w:sz="0" w:space="0" w:color="auto"/>
        <w:right w:val="none" w:sz="0" w:space="0" w:color="auto"/>
      </w:divBdr>
    </w:div>
    <w:div w:id="1196383957">
      <w:bodyDiv w:val="1"/>
      <w:marLeft w:val="0"/>
      <w:marRight w:val="0"/>
      <w:marTop w:val="0"/>
      <w:marBottom w:val="0"/>
      <w:divBdr>
        <w:top w:val="none" w:sz="0" w:space="0" w:color="auto"/>
        <w:left w:val="none" w:sz="0" w:space="0" w:color="auto"/>
        <w:bottom w:val="none" w:sz="0" w:space="0" w:color="auto"/>
        <w:right w:val="none" w:sz="0" w:space="0" w:color="auto"/>
      </w:divBdr>
    </w:div>
    <w:div w:id="1451318005">
      <w:bodyDiv w:val="1"/>
      <w:marLeft w:val="0"/>
      <w:marRight w:val="0"/>
      <w:marTop w:val="0"/>
      <w:marBottom w:val="0"/>
      <w:divBdr>
        <w:top w:val="none" w:sz="0" w:space="0" w:color="auto"/>
        <w:left w:val="none" w:sz="0" w:space="0" w:color="auto"/>
        <w:bottom w:val="none" w:sz="0" w:space="0" w:color="auto"/>
        <w:right w:val="none" w:sz="0" w:space="0" w:color="auto"/>
      </w:divBdr>
    </w:div>
    <w:div w:id="1453939189">
      <w:bodyDiv w:val="1"/>
      <w:marLeft w:val="0"/>
      <w:marRight w:val="0"/>
      <w:marTop w:val="0"/>
      <w:marBottom w:val="0"/>
      <w:divBdr>
        <w:top w:val="none" w:sz="0" w:space="0" w:color="auto"/>
        <w:left w:val="none" w:sz="0" w:space="0" w:color="auto"/>
        <w:bottom w:val="none" w:sz="0" w:space="0" w:color="auto"/>
        <w:right w:val="none" w:sz="0" w:space="0" w:color="auto"/>
      </w:divBdr>
      <w:divsChild>
        <w:div w:id="1765802987">
          <w:marLeft w:val="0"/>
          <w:marRight w:val="0"/>
          <w:marTop w:val="0"/>
          <w:marBottom w:val="0"/>
          <w:divBdr>
            <w:top w:val="none" w:sz="0" w:space="0" w:color="auto"/>
            <w:left w:val="none" w:sz="0" w:space="0" w:color="auto"/>
            <w:bottom w:val="none" w:sz="0" w:space="0" w:color="auto"/>
            <w:right w:val="none" w:sz="0" w:space="0" w:color="auto"/>
          </w:divBdr>
          <w:divsChild>
            <w:div w:id="1476489607">
              <w:marLeft w:val="0"/>
              <w:marRight w:val="0"/>
              <w:marTop w:val="0"/>
              <w:marBottom w:val="0"/>
              <w:divBdr>
                <w:top w:val="none" w:sz="0" w:space="0" w:color="auto"/>
                <w:left w:val="none" w:sz="0" w:space="0" w:color="auto"/>
                <w:bottom w:val="none" w:sz="0" w:space="0" w:color="auto"/>
                <w:right w:val="none" w:sz="0" w:space="0" w:color="auto"/>
              </w:divBdr>
              <w:divsChild>
                <w:div w:id="729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471365">
      <w:bodyDiv w:val="1"/>
      <w:marLeft w:val="0"/>
      <w:marRight w:val="0"/>
      <w:marTop w:val="0"/>
      <w:marBottom w:val="0"/>
      <w:divBdr>
        <w:top w:val="none" w:sz="0" w:space="0" w:color="auto"/>
        <w:left w:val="none" w:sz="0" w:space="0" w:color="auto"/>
        <w:bottom w:val="none" w:sz="0" w:space="0" w:color="auto"/>
        <w:right w:val="none" w:sz="0" w:space="0" w:color="auto"/>
      </w:divBdr>
    </w:div>
    <w:div w:id="1495880151">
      <w:bodyDiv w:val="1"/>
      <w:marLeft w:val="0"/>
      <w:marRight w:val="0"/>
      <w:marTop w:val="0"/>
      <w:marBottom w:val="0"/>
      <w:divBdr>
        <w:top w:val="none" w:sz="0" w:space="0" w:color="auto"/>
        <w:left w:val="none" w:sz="0" w:space="0" w:color="auto"/>
        <w:bottom w:val="none" w:sz="0" w:space="0" w:color="auto"/>
        <w:right w:val="none" w:sz="0" w:space="0" w:color="auto"/>
      </w:divBdr>
    </w:div>
    <w:div w:id="1523469493">
      <w:bodyDiv w:val="1"/>
      <w:marLeft w:val="0"/>
      <w:marRight w:val="0"/>
      <w:marTop w:val="0"/>
      <w:marBottom w:val="0"/>
      <w:divBdr>
        <w:top w:val="none" w:sz="0" w:space="0" w:color="auto"/>
        <w:left w:val="none" w:sz="0" w:space="0" w:color="auto"/>
        <w:bottom w:val="none" w:sz="0" w:space="0" w:color="auto"/>
        <w:right w:val="none" w:sz="0" w:space="0" w:color="auto"/>
      </w:divBdr>
    </w:div>
    <w:div w:id="1713262737">
      <w:bodyDiv w:val="1"/>
      <w:marLeft w:val="0"/>
      <w:marRight w:val="0"/>
      <w:marTop w:val="0"/>
      <w:marBottom w:val="0"/>
      <w:divBdr>
        <w:top w:val="none" w:sz="0" w:space="0" w:color="auto"/>
        <w:left w:val="none" w:sz="0" w:space="0" w:color="auto"/>
        <w:bottom w:val="none" w:sz="0" w:space="0" w:color="auto"/>
        <w:right w:val="none" w:sz="0" w:space="0" w:color="auto"/>
      </w:divBdr>
    </w:div>
    <w:div w:id="1750346008">
      <w:bodyDiv w:val="1"/>
      <w:marLeft w:val="0"/>
      <w:marRight w:val="0"/>
      <w:marTop w:val="0"/>
      <w:marBottom w:val="0"/>
      <w:divBdr>
        <w:top w:val="none" w:sz="0" w:space="0" w:color="auto"/>
        <w:left w:val="none" w:sz="0" w:space="0" w:color="auto"/>
        <w:bottom w:val="none" w:sz="0" w:space="0" w:color="auto"/>
        <w:right w:val="none" w:sz="0" w:space="0" w:color="auto"/>
      </w:divBdr>
    </w:div>
    <w:div w:id="1783648637">
      <w:bodyDiv w:val="1"/>
      <w:marLeft w:val="0"/>
      <w:marRight w:val="0"/>
      <w:marTop w:val="0"/>
      <w:marBottom w:val="0"/>
      <w:divBdr>
        <w:top w:val="none" w:sz="0" w:space="0" w:color="auto"/>
        <w:left w:val="none" w:sz="0" w:space="0" w:color="auto"/>
        <w:bottom w:val="none" w:sz="0" w:space="0" w:color="auto"/>
        <w:right w:val="none" w:sz="0" w:space="0" w:color="auto"/>
      </w:divBdr>
    </w:div>
    <w:div w:id="1816139901">
      <w:bodyDiv w:val="1"/>
      <w:marLeft w:val="0"/>
      <w:marRight w:val="0"/>
      <w:marTop w:val="0"/>
      <w:marBottom w:val="0"/>
      <w:divBdr>
        <w:top w:val="none" w:sz="0" w:space="0" w:color="auto"/>
        <w:left w:val="none" w:sz="0" w:space="0" w:color="auto"/>
        <w:bottom w:val="none" w:sz="0" w:space="0" w:color="auto"/>
        <w:right w:val="none" w:sz="0" w:space="0" w:color="auto"/>
      </w:divBdr>
    </w:div>
    <w:div w:id="1863131461">
      <w:bodyDiv w:val="1"/>
      <w:marLeft w:val="0"/>
      <w:marRight w:val="0"/>
      <w:marTop w:val="0"/>
      <w:marBottom w:val="0"/>
      <w:divBdr>
        <w:top w:val="none" w:sz="0" w:space="0" w:color="auto"/>
        <w:left w:val="none" w:sz="0" w:space="0" w:color="auto"/>
        <w:bottom w:val="none" w:sz="0" w:space="0" w:color="auto"/>
        <w:right w:val="none" w:sz="0" w:space="0" w:color="auto"/>
      </w:divBdr>
    </w:div>
    <w:div w:id="1934170400">
      <w:bodyDiv w:val="1"/>
      <w:marLeft w:val="0"/>
      <w:marRight w:val="0"/>
      <w:marTop w:val="0"/>
      <w:marBottom w:val="0"/>
      <w:divBdr>
        <w:top w:val="none" w:sz="0" w:space="0" w:color="auto"/>
        <w:left w:val="none" w:sz="0" w:space="0" w:color="auto"/>
        <w:bottom w:val="none" w:sz="0" w:space="0" w:color="auto"/>
        <w:right w:val="none" w:sz="0" w:space="0" w:color="auto"/>
      </w:divBdr>
    </w:div>
    <w:div w:id="1989167211">
      <w:bodyDiv w:val="1"/>
      <w:marLeft w:val="0"/>
      <w:marRight w:val="0"/>
      <w:marTop w:val="0"/>
      <w:marBottom w:val="0"/>
      <w:divBdr>
        <w:top w:val="none" w:sz="0" w:space="0" w:color="auto"/>
        <w:left w:val="none" w:sz="0" w:space="0" w:color="auto"/>
        <w:bottom w:val="none" w:sz="0" w:space="0" w:color="auto"/>
        <w:right w:val="none" w:sz="0" w:space="0" w:color="auto"/>
      </w:divBdr>
    </w:div>
    <w:div w:id="2051418615">
      <w:bodyDiv w:val="1"/>
      <w:marLeft w:val="0"/>
      <w:marRight w:val="0"/>
      <w:marTop w:val="0"/>
      <w:marBottom w:val="0"/>
      <w:divBdr>
        <w:top w:val="none" w:sz="0" w:space="0" w:color="auto"/>
        <w:left w:val="none" w:sz="0" w:space="0" w:color="auto"/>
        <w:bottom w:val="none" w:sz="0" w:space="0" w:color="auto"/>
        <w:right w:val="none" w:sz="0" w:space="0" w:color="auto"/>
      </w:divBdr>
    </w:div>
    <w:div w:id="2134210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70577/8f02v937" TargetMode="Externa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70577/8f02v93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6-2725-733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orcid.org/0009-0008-7219-4576%2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rcid.org/0009-0006-1734-5306"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6F4099F21A347AD85C4936DAE5C449C"/>
        <w:category>
          <w:name w:val="General"/>
          <w:gallery w:val="placeholder"/>
        </w:category>
        <w:types>
          <w:type w:val="bbPlcHdr"/>
        </w:types>
        <w:behaviors>
          <w:behavior w:val="content"/>
        </w:behaviors>
        <w:guid w:val="{72D12D81-27D2-4D9F-9722-5022B17B5F99}"/>
      </w:docPartPr>
      <w:docPartBody>
        <w:p w:rsidR="00A06B9F" w:rsidRDefault="00CE0BBC" w:rsidP="00CE0BBC">
          <w:pPr>
            <w:pStyle w:val="E6F4099F21A347AD85C4936DAE5C449C"/>
          </w:pPr>
          <w:r w:rsidRPr="004530E0">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CEA"/>
    <w:rsid w:val="00002426"/>
    <w:rsid w:val="000C5CEB"/>
    <w:rsid w:val="00271F40"/>
    <w:rsid w:val="0027693F"/>
    <w:rsid w:val="0049789E"/>
    <w:rsid w:val="00587000"/>
    <w:rsid w:val="005E1CEA"/>
    <w:rsid w:val="007E6313"/>
    <w:rsid w:val="008E68C4"/>
    <w:rsid w:val="00992A31"/>
    <w:rsid w:val="00A06B9F"/>
    <w:rsid w:val="00BA69B3"/>
    <w:rsid w:val="00BE71AB"/>
    <w:rsid w:val="00C825A3"/>
    <w:rsid w:val="00CA4C46"/>
    <w:rsid w:val="00CE0BBC"/>
    <w:rsid w:val="00D17FA7"/>
    <w:rsid w:val="00D96BD8"/>
    <w:rsid w:val="00E2443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EC" w:eastAsia="es-EC"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06B9F"/>
    <w:rPr>
      <w:color w:val="808080"/>
    </w:rPr>
  </w:style>
  <w:style w:type="paragraph" w:customStyle="1" w:styleId="E6F4099F21A347AD85C4936DAE5C449C">
    <w:name w:val="E6F4099F21A347AD85C4936DAE5C449C"/>
    <w:rsid w:val="00CE0B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file>

<file path=customXml/itemProps1.xml><?xml version="1.0" encoding="utf-8"?>
<ds:datastoreItem xmlns:ds="http://schemas.openxmlformats.org/officeDocument/2006/customXml" ds:itemID="{47B7C8C5-1D2C-415F-B6EE-D0AF5A93D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6325</Words>
  <Characters>34790</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Juli SG</cp:lastModifiedBy>
  <cp:revision>4</cp:revision>
  <cp:lastPrinted>2026-03-10T17:18:00Z</cp:lastPrinted>
  <dcterms:created xsi:type="dcterms:W3CDTF">2026-03-10T16:35:00Z</dcterms:created>
  <dcterms:modified xsi:type="dcterms:W3CDTF">2026-03-10T17:18:00Z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2025-11-12T00:00:00Z</vt:filetime>
  </property>
  <property fmtid="{D5CDD505-2E9C-101B-9397-08002B2CF9AE}" pid="3" name="Creator">
    <vt:lpwstr>Microsoft® Word para Microsoft 365</vt:lpwstr>
  </property>
  <property fmtid="{D5CDD505-2E9C-101B-9397-08002B2CF9AE}" pid="4" name="LastSaved">
    <vt:filetime>2026-02-03T00:00:00Z</vt:filetime>
  </property>
  <property fmtid="{D5CDD505-2E9C-101B-9397-08002B2CF9AE}" pid="5" name="Producer">
    <vt:lpwstr>Microsoft® Word para Microsoft 365</vt:lpwstr>
  </property>
</Properties>
</file>