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54D0A" w14:textId="281742C2" w:rsidR="00F76F46" w:rsidRPr="00F76F46" w:rsidRDefault="00CE4A57" w:rsidP="00CE4A57">
      <w:pPr>
        <w:spacing w:before="83" w:line="501" w:lineRule="auto"/>
        <w:jc w:val="center"/>
        <w:rPr>
          <w:rFonts w:cs="Arial"/>
          <w:sz w:val="24"/>
        </w:rPr>
      </w:pPr>
      <w:r w:rsidRPr="00F76F46">
        <w:rPr>
          <w:rFonts w:cs="Arial"/>
          <w:sz w:val="18"/>
          <w:szCs w:val="18"/>
        </w:rPr>
        <w:t>Periodicidad:</w:t>
      </w:r>
      <w:r w:rsidRPr="00F76F46">
        <w:rPr>
          <w:rFonts w:cs="Arial"/>
          <w:spacing w:val="-5"/>
          <w:sz w:val="18"/>
          <w:szCs w:val="18"/>
        </w:rPr>
        <w:t xml:space="preserve"> </w:t>
      </w:r>
      <w:r w:rsidRPr="00F76F46">
        <w:rPr>
          <w:rFonts w:cs="Arial"/>
          <w:sz w:val="18"/>
          <w:szCs w:val="18"/>
        </w:rPr>
        <w:t>Trimestral,</w:t>
      </w:r>
      <w:r w:rsidRPr="00F76F46">
        <w:rPr>
          <w:rFonts w:cs="Arial"/>
          <w:spacing w:val="-5"/>
          <w:sz w:val="18"/>
          <w:szCs w:val="18"/>
        </w:rPr>
        <w:t xml:space="preserve"> </w:t>
      </w:r>
      <w:r w:rsidRPr="00F76F46">
        <w:rPr>
          <w:rFonts w:cs="Arial"/>
          <w:sz w:val="18"/>
          <w:szCs w:val="18"/>
        </w:rPr>
        <w:t>Volumen:</w:t>
      </w:r>
      <w:r w:rsidRPr="00F76F46">
        <w:rPr>
          <w:rFonts w:cs="Arial"/>
          <w:spacing w:val="-1"/>
          <w:sz w:val="18"/>
          <w:szCs w:val="18"/>
        </w:rPr>
        <w:t xml:space="preserve"> </w:t>
      </w:r>
      <w:r>
        <w:rPr>
          <w:rFonts w:cs="Arial"/>
          <w:sz w:val="18"/>
          <w:szCs w:val="18"/>
        </w:rPr>
        <w:t>4</w:t>
      </w:r>
      <w:r w:rsidRPr="00F76F46">
        <w:rPr>
          <w:rFonts w:cs="Arial"/>
          <w:sz w:val="18"/>
          <w:szCs w:val="18"/>
        </w:rPr>
        <w:t>,</w:t>
      </w:r>
      <w:r w:rsidRPr="00F76F46">
        <w:rPr>
          <w:rFonts w:cs="Arial"/>
          <w:spacing w:val="-5"/>
          <w:sz w:val="18"/>
          <w:szCs w:val="18"/>
        </w:rPr>
        <w:t xml:space="preserve"> </w:t>
      </w:r>
      <w:r w:rsidRPr="00F76F46">
        <w:rPr>
          <w:rFonts w:cs="Arial"/>
          <w:sz w:val="18"/>
          <w:szCs w:val="18"/>
        </w:rPr>
        <w:t>Número:</w:t>
      </w:r>
      <w:r w:rsidRPr="00F76F46">
        <w:rPr>
          <w:rFonts w:cs="Arial"/>
          <w:spacing w:val="-4"/>
          <w:sz w:val="18"/>
          <w:szCs w:val="18"/>
        </w:rPr>
        <w:t xml:space="preserve"> </w:t>
      </w:r>
      <w:r>
        <w:rPr>
          <w:rFonts w:cs="Arial"/>
          <w:sz w:val="18"/>
          <w:szCs w:val="18"/>
        </w:rPr>
        <w:t>1</w:t>
      </w:r>
      <w:r w:rsidRPr="00F76F46">
        <w:rPr>
          <w:rFonts w:cs="Arial"/>
          <w:sz w:val="18"/>
          <w:szCs w:val="18"/>
        </w:rPr>
        <w:t>,</w:t>
      </w:r>
      <w:r w:rsidRPr="00F76F46">
        <w:rPr>
          <w:rFonts w:cs="Arial"/>
          <w:spacing w:val="-5"/>
          <w:sz w:val="18"/>
          <w:szCs w:val="18"/>
        </w:rPr>
        <w:t xml:space="preserve"> </w:t>
      </w:r>
      <w:r w:rsidRPr="00F76F46">
        <w:rPr>
          <w:rFonts w:cs="Arial"/>
          <w:sz w:val="18"/>
          <w:szCs w:val="18"/>
        </w:rPr>
        <w:t>Año:</w:t>
      </w:r>
      <w:r w:rsidRPr="00F76F46">
        <w:rPr>
          <w:rFonts w:cs="Arial"/>
          <w:spacing w:val="-3"/>
          <w:sz w:val="18"/>
          <w:szCs w:val="18"/>
        </w:rPr>
        <w:t xml:space="preserve"> </w:t>
      </w:r>
      <w:r w:rsidRPr="00F76F46">
        <w:rPr>
          <w:rFonts w:cs="Arial"/>
          <w:sz w:val="18"/>
          <w:szCs w:val="18"/>
        </w:rPr>
        <w:t>202</w:t>
      </w:r>
      <w:r>
        <w:rPr>
          <w:rFonts w:cs="Arial"/>
          <w:sz w:val="18"/>
          <w:szCs w:val="18"/>
        </w:rPr>
        <w:t>6</w:t>
      </w:r>
      <w:r w:rsidRPr="00F76F46">
        <w:rPr>
          <w:rFonts w:cs="Arial"/>
          <w:spacing w:val="-5"/>
          <w:sz w:val="18"/>
          <w:szCs w:val="18"/>
        </w:rPr>
        <w:t xml:space="preserve"> </w:t>
      </w:r>
      <w:r w:rsidRPr="00F76F46">
        <w:rPr>
          <w:rFonts w:cs="Arial"/>
          <w:sz w:val="18"/>
          <w:szCs w:val="18"/>
        </w:rPr>
        <w:t>páginas</w:t>
      </w:r>
      <w:r w:rsidR="00633813">
        <w:rPr>
          <w:rFonts w:cs="Arial"/>
          <w:spacing w:val="-7"/>
          <w:sz w:val="18"/>
          <w:szCs w:val="18"/>
        </w:rPr>
        <w:t xml:space="preserve"> </w:t>
      </w:r>
      <w:r w:rsidR="00740388">
        <w:rPr>
          <w:rFonts w:cs="Arial"/>
          <w:sz w:val="18"/>
          <w:szCs w:val="18"/>
        </w:rPr>
        <w:t>57</w:t>
      </w:r>
      <w:r w:rsidR="00E37391">
        <w:rPr>
          <w:rFonts w:cs="Arial"/>
          <w:sz w:val="18"/>
          <w:szCs w:val="18"/>
        </w:rPr>
        <w:t>9</w:t>
      </w:r>
      <w:r w:rsidR="00AB74EE">
        <w:rPr>
          <w:rFonts w:cs="Arial"/>
          <w:sz w:val="18"/>
          <w:szCs w:val="18"/>
        </w:rPr>
        <w:t>-</w:t>
      </w:r>
      <w:r w:rsidR="009B5A12">
        <w:rPr>
          <w:rFonts w:cs="Arial"/>
          <w:sz w:val="18"/>
          <w:szCs w:val="18"/>
        </w:rPr>
        <w:t>59</w:t>
      </w:r>
      <w:r w:rsidR="00E37391">
        <w:rPr>
          <w:rFonts w:cs="Arial"/>
          <w:sz w:val="18"/>
          <w:szCs w:val="18"/>
        </w:rPr>
        <w:t>1</w:t>
      </w:r>
    </w:p>
    <w:p w14:paraId="2BC12465" w14:textId="492BABB7" w:rsidR="00AB72C8" w:rsidRPr="00A66759" w:rsidRDefault="00F76F46" w:rsidP="00F76F46">
      <w:pPr>
        <w:spacing w:line="502" w:lineRule="auto"/>
        <w:rPr>
          <w:rFonts w:cs="Arial"/>
          <w:sz w:val="18"/>
          <w:szCs w:val="18"/>
        </w:rPr>
      </w:pPr>
      <w:r w:rsidRPr="00A66759">
        <w:rPr>
          <w:rFonts w:cs="Arial"/>
          <w:sz w:val="18"/>
          <w:szCs w:val="18"/>
        </w:rPr>
        <w:t>DOI</w:t>
      </w:r>
      <w:r w:rsidR="00D828F5" w:rsidRPr="00A66759">
        <w:rPr>
          <w:rFonts w:cs="Arial"/>
          <w:sz w:val="18"/>
          <w:szCs w:val="18"/>
        </w:rPr>
        <w:t xml:space="preserve">: </w:t>
      </w:r>
      <w:hyperlink r:id="rId8" w:history="1">
        <w:r w:rsidR="00272915" w:rsidRPr="00272915">
          <w:rPr>
            <w:rStyle w:val="Hipervnculo"/>
            <w:color w:val="auto"/>
            <w:u w:val="none"/>
          </w:rPr>
          <w:t>https://doi.org/10.70577/qt6nen36</w:t>
        </w:r>
      </w:hyperlink>
    </w:p>
    <w:p w14:paraId="1FE765D8" w14:textId="5EC732D0" w:rsidR="00F1553D" w:rsidRPr="009C150A" w:rsidRDefault="00AB74EE" w:rsidP="00F1553D">
      <w:pPr>
        <w:pStyle w:val="Sinespaciado"/>
        <w:spacing w:after="100" w:line="360" w:lineRule="auto"/>
        <w:jc w:val="center"/>
        <w:rPr>
          <w:rFonts w:ascii="Arial" w:hAnsi="Arial" w:cs="Arial"/>
          <w:b/>
          <w:sz w:val="28"/>
          <w:lang w:val="es-MX"/>
        </w:rPr>
      </w:pPr>
      <w:r w:rsidRPr="00AB74EE">
        <w:rPr>
          <w:rFonts w:ascii="Arial" w:hAnsi="Arial" w:cs="Arial"/>
          <w:b/>
          <w:sz w:val="28"/>
          <w:lang w:val="es-MX"/>
        </w:rPr>
        <w:t>Planificación estratégica financiera integrada a procesos de innovación tecnológica</w:t>
      </w:r>
    </w:p>
    <w:p w14:paraId="7BD36CFF" w14:textId="6F04F1F1" w:rsidR="00833C67" w:rsidRPr="00833C67" w:rsidRDefault="00B07A81" w:rsidP="00833C67">
      <w:pPr>
        <w:pStyle w:val="Sinespaciado"/>
        <w:jc w:val="right"/>
        <w:rPr>
          <w:rFonts w:ascii="Arial" w:hAnsi="Arial" w:cs="Arial"/>
          <w:b/>
          <w:sz w:val="16"/>
          <w:lang w:val="es-MX"/>
        </w:rPr>
      </w:pPr>
      <w:r w:rsidRPr="00B07A81">
        <w:rPr>
          <w:rFonts w:ascii="Arial" w:hAnsi="Arial" w:cs="Arial"/>
          <w:b/>
          <w:sz w:val="16"/>
          <w:lang w:val="es-MX"/>
        </w:rPr>
        <w:t>Ab. Jaime Eduardo Alcívar Cobeña, Mg.</w:t>
      </w:r>
      <w:r w:rsidR="00833C67" w:rsidRPr="00833C67">
        <w:rPr>
          <w:rFonts w:ascii="Arial" w:hAnsi="Arial" w:cs="Arial"/>
          <w:b/>
          <w:sz w:val="16"/>
          <w:vertAlign w:val="superscript"/>
          <w:lang w:val="es-MX"/>
        </w:rPr>
        <w:t>1</w:t>
      </w:r>
    </w:p>
    <w:p w14:paraId="07486E0B" w14:textId="3E0C0C3A" w:rsidR="00833C67" w:rsidRPr="00833C67" w:rsidRDefault="00B07A81" w:rsidP="00833C67">
      <w:pPr>
        <w:pStyle w:val="Sinespaciado"/>
        <w:jc w:val="right"/>
        <w:rPr>
          <w:rFonts w:ascii="Arial" w:hAnsi="Arial" w:cs="Arial"/>
          <w:bCs/>
          <w:sz w:val="16"/>
          <w:lang w:val="es-MX"/>
        </w:rPr>
      </w:pPr>
      <w:r w:rsidRPr="00B07A81">
        <w:rPr>
          <w:rFonts w:ascii="Arial" w:hAnsi="Arial" w:cs="Arial"/>
          <w:bCs/>
          <w:sz w:val="16"/>
          <w:lang w:val="es-MX"/>
        </w:rPr>
        <w:t>Universidad Estatal del Sur de Manabí. Carrera de Derecho. Jipijapa. Ecuador</w:t>
      </w:r>
    </w:p>
    <w:p w14:paraId="00B253E6" w14:textId="26EC7FDC" w:rsidR="00833C67" w:rsidRPr="00833C67" w:rsidRDefault="00AB74EE" w:rsidP="00833C67">
      <w:pPr>
        <w:pStyle w:val="Sinespaciado"/>
        <w:jc w:val="right"/>
        <w:rPr>
          <w:rFonts w:ascii="Arial" w:hAnsi="Arial" w:cs="Arial"/>
          <w:bCs/>
          <w:sz w:val="16"/>
          <w:lang w:val="es-MX"/>
        </w:rPr>
      </w:pPr>
      <w:r w:rsidRPr="00AB74EE">
        <w:rPr>
          <w:rFonts w:ascii="Arial" w:hAnsi="Arial" w:cs="Arial"/>
          <w:bCs/>
          <w:sz w:val="16"/>
          <w:lang w:val="es-MX"/>
        </w:rPr>
        <w:t>jaime.alcivar@unesum.edu.ec</w:t>
      </w:r>
    </w:p>
    <w:p w14:paraId="295FE58E" w14:textId="2FBD7776" w:rsidR="00B915F3" w:rsidRPr="00AB74EE" w:rsidRDefault="00AB74EE" w:rsidP="00833C67">
      <w:pPr>
        <w:pStyle w:val="Sinespaciado"/>
        <w:spacing w:after="100"/>
        <w:jc w:val="right"/>
        <w:rPr>
          <w:rFonts w:ascii="Arial" w:hAnsi="Arial" w:cs="Arial"/>
          <w:bCs/>
          <w:sz w:val="4"/>
          <w:szCs w:val="4"/>
        </w:rPr>
      </w:pPr>
      <w:hyperlink r:id="rId9" w:history="1">
        <w:r w:rsidRPr="00AB74EE">
          <w:rPr>
            <w:rStyle w:val="Hipervnculo"/>
            <w:rFonts w:ascii="Arial" w:hAnsi="Arial" w:cs="Arial"/>
            <w:color w:val="auto"/>
            <w:sz w:val="16"/>
            <w:szCs w:val="16"/>
            <w:u w:val="none"/>
          </w:rPr>
          <w:t>https://orcid.org/0009-0001-4695-1253</w:t>
        </w:r>
      </w:hyperlink>
    </w:p>
    <w:p w14:paraId="495CD928" w14:textId="3A922FCB" w:rsidR="00833C67" w:rsidRPr="00833C67" w:rsidRDefault="00833C67" w:rsidP="00833C67">
      <w:pPr>
        <w:pStyle w:val="Sinespaciado"/>
        <w:jc w:val="right"/>
        <w:rPr>
          <w:rFonts w:ascii="Arial" w:hAnsi="Arial" w:cs="Arial"/>
          <w:b/>
          <w:sz w:val="16"/>
          <w:lang w:val="es-MX"/>
        </w:rPr>
      </w:pPr>
      <w:hyperlink r:id="rId10" w:history="1"/>
      <w:r w:rsidR="0064739B" w:rsidRPr="0064739B">
        <w:t xml:space="preserve"> </w:t>
      </w:r>
      <w:r w:rsidR="00AB74EE" w:rsidRPr="00AB74EE">
        <w:rPr>
          <w:rFonts w:ascii="Arial" w:hAnsi="Arial" w:cs="Arial"/>
          <w:b/>
          <w:sz w:val="16"/>
          <w:lang w:val="es-MX"/>
        </w:rPr>
        <w:t>Emily Massiel</w:t>
      </w:r>
      <w:r w:rsidR="00AB74EE">
        <w:rPr>
          <w:rFonts w:ascii="Arial" w:hAnsi="Arial" w:cs="Arial"/>
          <w:b/>
          <w:sz w:val="16"/>
          <w:lang w:val="es-MX"/>
        </w:rPr>
        <w:t xml:space="preserve"> </w:t>
      </w:r>
      <w:proofErr w:type="spellStart"/>
      <w:r w:rsidR="00AB74EE" w:rsidRPr="00AB74EE">
        <w:rPr>
          <w:rFonts w:ascii="Arial" w:hAnsi="Arial" w:cs="Arial"/>
          <w:b/>
          <w:sz w:val="16"/>
          <w:lang w:val="es-MX"/>
        </w:rPr>
        <w:t>Celi</w:t>
      </w:r>
      <w:proofErr w:type="spellEnd"/>
      <w:r w:rsidR="00AB74EE" w:rsidRPr="00AB74EE">
        <w:rPr>
          <w:rFonts w:ascii="Arial" w:hAnsi="Arial" w:cs="Arial"/>
          <w:b/>
          <w:sz w:val="16"/>
          <w:lang w:val="es-MX"/>
        </w:rPr>
        <w:t xml:space="preserve"> Basurto</w:t>
      </w:r>
      <w:r w:rsidRPr="00833C67">
        <w:rPr>
          <w:rFonts w:ascii="Arial" w:hAnsi="Arial" w:cs="Arial"/>
          <w:b/>
          <w:sz w:val="16"/>
          <w:vertAlign w:val="superscript"/>
          <w:lang w:val="es-MX"/>
        </w:rPr>
        <w:t>2</w:t>
      </w:r>
    </w:p>
    <w:p w14:paraId="0A592B7E" w14:textId="37ADAACB" w:rsidR="00833C67" w:rsidRPr="00833C67" w:rsidRDefault="0064739B" w:rsidP="00833C67">
      <w:pPr>
        <w:pStyle w:val="Sinespaciado"/>
        <w:jc w:val="right"/>
        <w:rPr>
          <w:rFonts w:ascii="Arial" w:hAnsi="Arial" w:cs="Arial"/>
          <w:bCs/>
          <w:sz w:val="16"/>
          <w:lang w:val="es-MX"/>
        </w:rPr>
      </w:pPr>
      <w:r>
        <w:rPr>
          <w:rFonts w:ascii="Arial" w:hAnsi="Arial" w:cs="Arial"/>
          <w:bCs/>
          <w:sz w:val="16"/>
          <w:lang w:val="es-MX"/>
        </w:rPr>
        <w:t xml:space="preserve">Estudiante de la </w:t>
      </w:r>
      <w:r w:rsidR="00833C67" w:rsidRPr="00833C67">
        <w:rPr>
          <w:rFonts w:ascii="Arial" w:hAnsi="Arial" w:cs="Arial"/>
          <w:bCs/>
          <w:sz w:val="16"/>
          <w:lang w:val="es-MX"/>
        </w:rPr>
        <w:t>Universidad Estatal del Sur de Manabí. Jipijapa, Ecuador</w:t>
      </w:r>
    </w:p>
    <w:p w14:paraId="19E62E2F" w14:textId="525295B6" w:rsidR="00833C67" w:rsidRPr="00AB74EE" w:rsidRDefault="00AB74EE" w:rsidP="00833C67">
      <w:pPr>
        <w:pStyle w:val="Sinespaciado"/>
        <w:jc w:val="right"/>
        <w:rPr>
          <w:rFonts w:ascii="Arial" w:hAnsi="Arial" w:cs="Arial"/>
          <w:bCs/>
          <w:sz w:val="16"/>
          <w:lang w:val="es-MX"/>
        </w:rPr>
      </w:pPr>
      <w:hyperlink r:id="rId11" w:history="1">
        <w:r w:rsidRPr="00AB74EE">
          <w:rPr>
            <w:rStyle w:val="Hipervnculo"/>
            <w:rFonts w:ascii="Arial" w:hAnsi="Arial" w:cs="Arial"/>
            <w:bCs/>
            <w:color w:val="auto"/>
            <w:sz w:val="16"/>
            <w:u w:val="none"/>
            <w:lang w:val="es-MX"/>
          </w:rPr>
          <w:t>celi-emily3074@unesum.edu.ec</w:t>
        </w:r>
      </w:hyperlink>
    </w:p>
    <w:p w14:paraId="3087DA0D" w14:textId="5A2EDDC5" w:rsidR="00F76F46" w:rsidRPr="00AB74EE" w:rsidRDefault="00AB74EE" w:rsidP="00AB74EE">
      <w:pPr>
        <w:pStyle w:val="Sinespaciado"/>
        <w:spacing w:after="100"/>
        <w:jc w:val="right"/>
        <w:rPr>
          <w:rFonts w:ascii="Arial" w:hAnsi="Arial" w:cs="Arial"/>
          <w:bCs/>
          <w:sz w:val="16"/>
          <w:lang w:val="es-MX"/>
        </w:rPr>
      </w:pPr>
      <w:hyperlink r:id="rId12" w:history="1">
        <w:r w:rsidRPr="00AB74EE">
          <w:rPr>
            <w:rStyle w:val="Hipervnculo"/>
            <w:rFonts w:ascii="Arial" w:hAnsi="Arial" w:cs="Arial"/>
            <w:bCs/>
            <w:color w:val="auto"/>
            <w:sz w:val="16"/>
            <w:u w:val="none"/>
            <w:lang w:val="es-MX"/>
          </w:rPr>
          <w:t>https://orcid.org/0009-0007-2899-8289</w:t>
        </w:r>
      </w:hyperlink>
      <w:hyperlink r:id="rId13" w:history="1">
        <w:r w:rsidRPr="00AB74EE">
          <w:rPr>
            <w:rStyle w:val="Hipervnculo"/>
            <w:rFonts w:ascii="Arial" w:hAnsi="Arial" w:cs="Arial"/>
            <w:color w:val="auto"/>
            <w:sz w:val="16"/>
            <w:szCs w:val="16"/>
            <w:u w:val="none"/>
          </w:rPr>
          <w:t xml:space="preserve"> </w:t>
        </w:r>
      </w:hyperlink>
    </w:p>
    <w:p w14:paraId="5C74AF2A" w14:textId="039CE71B" w:rsidR="00AB74EE" w:rsidRPr="00833C67" w:rsidRDefault="00AB74EE" w:rsidP="00AB74EE">
      <w:pPr>
        <w:pStyle w:val="Sinespaciado"/>
        <w:jc w:val="right"/>
        <w:rPr>
          <w:rFonts w:ascii="Arial" w:hAnsi="Arial" w:cs="Arial"/>
          <w:b/>
          <w:sz w:val="16"/>
          <w:lang w:val="es-MX"/>
        </w:rPr>
      </w:pPr>
      <w:r w:rsidRPr="00AB74EE">
        <w:rPr>
          <w:rFonts w:ascii="Arial" w:hAnsi="Arial" w:cs="Arial"/>
          <w:b/>
          <w:sz w:val="16"/>
          <w:lang w:val="es-MX"/>
        </w:rPr>
        <w:t>Ibeth Roxana</w:t>
      </w:r>
      <w:r>
        <w:rPr>
          <w:rFonts w:ascii="Arial" w:hAnsi="Arial" w:cs="Arial"/>
          <w:b/>
          <w:sz w:val="16"/>
          <w:lang w:val="es-MX"/>
        </w:rPr>
        <w:t xml:space="preserve"> </w:t>
      </w:r>
      <w:proofErr w:type="spellStart"/>
      <w:r w:rsidRPr="00AB74EE">
        <w:rPr>
          <w:rFonts w:ascii="Arial" w:hAnsi="Arial" w:cs="Arial"/>
          <w:b/>
          <w:sz w:val="16"/>
          <w:lang w:val="es-MX"/>
        </w:rPr>
        <w:t>Garcia</w:t>
      </w:r>
      <w:proofErr w:type="spellEnd"/>
      <w:r w:rsidRPr="00AB74EE">
        <w:rPr>
          <w:rFonts w:ascii="Arial" w:hAnsi="Arial" w:cs="Arial"/>
          <w:b/>
          <w:sz w:val="16"/>
          <w:lang w:val="es-MX"/>
        </w:rPr>
        <w:t xml:space="preserve"> Galeas</w:t>
      </w:r>
      <w:r w:rsidR="00272915">
        <w:rPr>
          <w:rFonts w:ascii="Arial" w:hAnsi="Arial" w:cs="Arial"/>
          <w:b/>
          <w:sz w:val="16"/>
          <w:vertAlign w:val="superscript"/>
          <w:lang w:val="es-MX"/>
        </w:rPr>
        <w:t>3</w:t>
      </w:r>
    </w:p>
    <w:p w14:paraId="0370D8B2" w14:textId="77777777" w:rsidR="00AB74EE" w:rsidRPr="00833C67" w:rsidRDefault="00AB74EE" w:rsidP="00AB74EE">
      <w:pPr>
        <w:pStyle w:val="Sinespaciado"/>
        <w:jc w:val="right"/>
        <w:rPr>
          <w:rFonts w:ascii="Arial" w:hAnsi="Arial" w:cs="Arial"/>
          <w:bCs/>
          <w:sz w:val="16"/>
          <w:lang w:val="es-MX"/>
        </w:rPr>
      </w:pPr>
      <w:r>
        <w:rPr>
          <w:rFonts w:ascii="Arial" w:hAnsi="Arial" w:cs="Arial"/>
          <w:bCs/>
          <w:sz w:val="16"/>
          <w:lang w:val="es-MX"/>
        </w:rPr>
        <w:t xml:space="preserve">Estudiante de la </w:t>
      </w:r>
      <w:r w:rsidRPr="00833C67">
        <w:rPr>
          <w:rFonts w:ascii="Arial" w:hAnsi="Arial" w:cs="Arial"/>
          <w:bCs/>
          <w:sz w:val="16"/>
          <w:lang w:val="es-MX"/>
        </w:rPr>
        <w:t>Universidad Estatal del Sur de Manabí. Jipijapa, Ecuador</w:t>
      </w:r>
    </w:p>
    <w:p w14:paraId="1B35D080" w14:textId="175B630F" w:rsidR="00AB74EE" w:rsidRPr="00833C67" w:rsidRDefault="00AB74EE" w:rsidP="00AB74EE">
      <w:pPr>
        <w:pStyle w:val="Sinespaciado"/>
        <w:jc w:val="right"/>
        <w:rPr>
          <w:rFonts w:ascii="Arial" w:hAnsi="Arial" w:cs="Arial"/>
          <w:bCs/>
          <w:sz w:val="16"/>
          <w:lang w:val="es-MX"/>
        </w:rPr>
      </w:pPr>
      <w:r w:rsidRPr="00AB74EE">
        <w:rPr>
          <w:rFonts w:ascii="Arial" w:hAnsi="Arial" w:cs="Arial"/>
          <w:bCs/>
          <w:sz w:val="16"/>
          <w:lang w:val="es-MX"/>
        </w:rPr>
        <w:t>garcia-ibeth9948@unesum.edu.ec</w:t>
      </w:r>
    </w:p>
    <w:p w14:paraId="7D2D3128" w14:textId="21DC54B5" w:rsidR="00AB74EE" w:rsidRPr="00AB74EE" w:rsidRDefault="00AB74EE" w:rsidP="00AB74EE">
      <w:pPr>
        <w:pStyle w:val="Sinespaciado"/>
        <w:spacing w:after="100"/>
        <w:jc w:val="right"/>
        <w:rPr>
          <w:rFonts w:ascii="Arial" w:hAnsi="Arial" w:cs="Arial"/>
          <w:bCs/>
          <w:sz w:val="10"/>
          <w:szCs w:val="16"/>
          <w:lang w:val="es-MX"/>
        </w:rPr>
      </w:pPr>
      <w:hyperlink r:id="rId14" w:history="1">
        <w:r w:rsidRPr="00AB74EE">
          <w:rPr>
            <w:rStyle w:val="Hipervnculo"/>
            <w:rFonts w:ascii="Arial" w:hAnsi="Arial" w:cs="Arial"/>
            <w:color w:val="auto"/>
            <w:sz w:val="16"/>
            <w:szCs w:val="16"/>
            <w:u w:val="none"/>
          </w:rPr>
          <w:t>https://orcid.org/0009-0007-3853-4728</w:t>
        </w:r>
      </w:hyperlink>
    </w:p>
    <w:p w14:paraId="56813020" w14:textId="77777777" w:rsidR="003474D1" w:rsidRPr="0064739B" w:rsidRDefault="003474D1" w:rsidP="003474D1">
      <w:pPr>
        <w:pStyle w:val="Sinespaciado"/>
        <w:jc w:val="right"/>
        <w:rPr>
          <w:rFonts w:ascii="Arial" w:hAnsi="Arial" w:cs="Arial"/>
          <w:bCs/>
          <w:sz w:val="16"/>
          <w:lang w:val="es-MX"/>
        </w:rPr>
      </w:pPr>
    </w:p>
    <w:tbl>
      <w:tblPr>
        <w:tblStyle w:val="Tablaconcuadrcula"/>
        <w:tblW w:w="8767" w:type="dxa"/>
        <w:tblLook w:val="04A0" w:firstRow="1" w:lastRow="0" w:firstColumn="1" w:lastColumn="0" w:noHBand="0" w:noVBand="1"/>
      </w:tblPr>
      <w:tblGrid>
        <w:gridCol w:w="4424"/>
        <w:gridCol w:w="4343"/>
      </w:tblGrid>
      <w:tr w:rsidR="00F76F46" w:rsidRPr="00F76F46" w14:paraId="730CB6D6" w14:textId="77777777" w:rsidTr="001A2AA2">
        <w:trPr>
          <w:trHeight w:val="1419"/>
        </w:trPr>
        <w:tc>
          <w:tcPr>
            <w:tcW w:w="4424" w:type="dxa"/>
          </w:tcPr>
          <w:p w14:paraId="0E14EACB" w14:textId="77777777" w:rsidR="00376E9D" w:rsidRDefault="00376E9D" w:rsidP="00376E9D">
            <w:pPr>
              <w:rPr>
                <w:rFonts w:cs="Arial"/>
                <w:b/>
                <w:sz w:val="16"/>
                <w:szCs w:val="16"/>
              </w:rPr>
            </w:pPr>
          </w:p>
          <w:p w14:paraId="3C9C38BB" w14:textId="333EDF9A" w:rsidR="00F76F46" w:rsidRPr="000F08FC" w:rsidRDefault="00F76F46" w:rsidP="00376E9D">
            <w:pPr>
              <w:rPr>
                <w:rFonts w:cs="Arial"/>
                <w:b/>
                <w:sz w:val="16"/>
                <w:szCs w:val="16"/>
              </w:rPr>
            </w:pPr>
            <w:r w:rsidRPr="000F08FC">
              <w:rPr>
                <w:rFonts w:cs="Arial"/>
                <w:b/>
                <w:sz w:val="16"/>
                <w:szCs w:val="16"/>
              </w:rPr>
              <w:t>Cómo citar:</w:t>
            </w:r>
          </w:p>
          <w:p w14:paraId="646BDD85" w14:textId="3F5D1EB9" w:rsidR="00F76F46" w:rsidRPr="0012470F" w:rsidRDefault="00272915" w:rsidP="00B57DE1">
            <w:pPr>
              <w:rPr>
                <w:rFonts w:cs="Arial"/>
                <w:bCs/>
                <w:sz w:val="16"/>
                <w:szCs w:val="16"/>
              </w:rPr>
            </w:pPr>
            <w:r w:rsidRPr="00272915">
              <w:rPr>
                <w:rFonts w:cs="Arial"/>
                <w:bCs/>
                <w:sz w:val="16"/>
                <w:szCs w:val="16"/>
              </w:rPr>
              <w:t>Planificación estratégica financiera integrada a procesos de innovación tecnológica. (2026). </w:t>
            </w:r>
            <w:r w:rsidRPr="00272915">
              <w:rPr>
                <w:rFonts w:cs="Arial"/>
                <w:bCs/>
                <w:i/>
                <w:iCs/>
                <w:sz w:val="16"/>
                <w:szCs w:val="16"/>
              </w:rPr>
              <w:t>Visión Académica</w:t>
            </w:r>
            <w:r w:rsidRPr="00272915">
              <w:rPr>
                <w:rFonts w:cs="Arial"/>
                <w:bCs/>
                <w:sz w:val="16"/>
                <w:szCs w:val="16"/>
              </w:rPr>
              <w:t>, </w:t>
            </w:r>
            <w:r w:rsidRPr="00272915">
              <w:rPr>
                <w:rFonts w:cs="Arial"/>
                <w:bCs/>
                <w:i/>
                <w:iCs/>
                <w:sz w:val="16"/>
                <w:szCs w:val="16"/>
              </w:rPr>
              <w:t>4</w:t>
            </w:r>
            <w:r w:rsidRPr="00272915">
              <w:rPr>
                <w:rFonts w:cs="Arial"/>
                <w:bCs/>
                <w:sz w:val="16"/>
                <w:szCs w:val="16"/>
              </w:rPr>
              <w:t>(1), 57</w:t>
            </w:r>
            <w:r w:rsidR="00E37391">
              <w:rPr>
                <w:rFonts w:cs="Arial"/>
                <w:bCs/>
                <w:sz w:val="16"/>
                <w:szCs w:val="16"/>
              </w:rPr>
              <w:t>9</w:t>
            </w:r>
            <w:r w:rsidRPr="00272915">
              <w:rPr>
                <w:rFonts w:cs="Arial"/>
                <w:bCs/>
                <w:sz w:val="16"/>
                <w:szCs w:val="16"/>
              </w:rPr>
              <w:t>-59</w:t>
            </w:r>
            <w:r w:rsidR="00E37391">
              <w:rPr>
                <w:rFonts w:cs="Arial"/>
                <w:bCs/>
                <w:sz w:val="16"/>
                <w:szCs w:val="16"/>
              </w:rPr>
              <w:t>1</w:t>
            </w:r>
            <w:r w:rsidRPr="00272915">
              <w:rPr>
                <w:rFonts w:cs="Arial"/>
                <w:bCs/>
                <w:sz w:val="16"/>
                <w:szCs w:val="16"/>
              </w:rPr>
              <w:t>. </w:t>
            </w:r>
            <w:hyperlink r:id="rId15" w:history="1">
              <w:r w:rsidRPr="00272915">
                <w:rPr>
                  <w:rStyle w:val="Hipervnculo"/>
                  <w:rFonts w:cs="Arial"/>
                  <w:bCs/>
                  <w:color w:val="auto"/>
                  <w:sz w:val="16"/>
                  <w:szCs w:val="16"/>
                  <w:u w:val="none"/>
                </w:rPr>
                <w:t>https://doi.org/10.70577/qt6nen36</w:t>
              </w:r>
            </w:hyperlink>
          </w:p>
        </w:tc>
        <w:tc>
          <w:tcPr>
            <w:tcW w:w="4343" w:type="dxa"/>
          </w:tcPr>
          <w:p w14:paraId="76F0BA39" w14:textId="77777777" w:rsidR="00284989" w:rsidRDefault="00284989" w:rsidP="001A2AA2">
            <w:pPr>
              <w:spacing w:after="0" w:line="240" w:lineRule="auto"/>
              <w:jc w:val="center"/>
              <w:rPr>
                <w:rFonts w:eastAsia="Times New Roman" w:cs="Times New Roman"/>
                <w:sz w:val="16"/>
                <w:szCs w:val="16"/>
              </w:rPr>
            </w:pPr>
          </w:p>
          <w:p w14:paraId="6A523D33" w14:textId="402F3E32" w:rsidR="00CE4A57" w:rsidRDefault="00CE4A57" w:rsidP="009B5A12">
            <w:pPr>
              <w:tabs>
                <w:tab w:val="left" w:pos="2758"/>
              </w:tabs>
              <w:spacing w:after="0" w:line="240" w:lineRule="auto"/>
              <w:rPr>
                <w:rFonts w:eastAsia="Times New Roman" w:cs="Times New Roman"/>
                <w:sz w:val="16"/>
                <w:szCs w:val="16"/>
              </w:rPr>
            </w:pPr>
            <w:r w:rsidRPr="000F08FC">
              <w:rPr>
                <w:rFonts w:eastAsia="Times New Roman" w:cs="Times New Roman"/>
                <w:sz w:val="16"/>
                <w:szCs w:val="16"/>
              </w:rPr>
              <w:t>Fecha de recepción: 202</w:t>
            </w:r>
            <w:r w:rsidR="001A2AA2">
              <w:rPr>
                <w:rFonts w:eastAsia="Times New Roman" w:cs="Times New Roman"/>
                <w:sz w:val="16"/>
                <w:szCs w:val="16"/>
              </w:rPr>
              <w:t>6</w:t>
            </w:r>
            <w:r w:rsidRPr="000F08FC">
              <w:rPr>
                <w:rFonts w:eastAsia="Times New Roman" w:cs="Times New Roman"/>
                <w:sz w:val="16"/>
                <w:szCs w:val="16"/>
              </w:rPr>
              <w:t>-</w:t>
            </w:r>
            <w:r w:rsidR="001A2AA2">
              <w:rPr>
                <w:rFonts w:eastAsia="Times New Roman" w:cs="Times New Roman"/>
                <w:sz w:val="16"/>
                <w:szCs w:val="16"/>
              </w:rPr>
              <w:t>01</w:t>
            </w:r>
            <w:r w:rsidRPr="000F08FC">
              <w:rPr>
                <w:rFonts w:eastAsia="Times New Roman" w:cs="Times New Roman"/>
                <w:sz w:val="16"/>
                <w:szCs w:val="16"/>
              </w:rPr>
              <w:t>-</w:t>
            </w:r>
            <w:r w:rsidR="009B5A12">
              <w:rPr>
                <w:rFonts w:eastAsia="Times New Roman" w:cs="Times New Roman"/>
                <w:sz w:val="16"/>
                <w:szCs w:val="16"/>
              </w:rPr>
              <w:t>19</w:t>
            </w:r>
          </w:p>
          <w:p w14:paraId="7002AC29" w14:textId="77777777" w:rsidR="00CE4A57" w:rsidRDefault="00CE4A57" w:rsidP="001A2AA2">
            <w:pPr>
              <w:spacing w:after="0" w:line="240" w:lineRule="auto"/>
              <w:rPr>
                <w:rFonts w:eastAsia="Times New Roman" w:cs="Times New Roman"/>
                <w:sz w:val="16"/>
                <w:szCs w:val="16"/>
              </w:rPr>
            </w:pPr>
          </w:p>
          <w:p w14:paraId="31938A8B" w14:textId="77777777" w:rsidR="00CE4A57" w:rsidRDefault="00CE4A57" w:rsidP="001A2AA2">
            <w:pPr>
              <w:spacing w:after="0" w:line="240" w:lineRule="auto"/>
              <w:rPr>
                <w:rFonts w:eastAsia="Times New Roman" w:cs="Times New Roman"/>
                <w:sz w:val="16"/>
                <w:szCs w:val="16"/>
              </w:rPr>
            </w:pPr>
          </w:p>
          <w:p w14:paraId="0436D4D6" w14:textId="77777777" w:rsidR="00CE4A57" w:rsidRPr="000F08FC" w:rsidRDefault="00CE4A57" w:rsidP="001A2AA2">
            <w:pPr>
              <w:spacing w:after="0" w:line="240" w:lineRule="auto"/>
              <w:rPr>
                <w:rFonts w:eastAsia="Times New Roman" w:cs="Times New Roman"/>
                <w:sz w:val="16"/>
                <w:szCs w:val="16"/>
              </w:rPr>
            </w:pPr>
          </w:p>
          <w:p w14:paraId="468FBD28" w14:textId="33D1C269" w:rsidR="00CE4A57" w:rsidRDefault="00CE4A57" w:rsidP="001A2AA2">
            <w:pPr>
              <w:spacing w:after="0" w:line="240" w:lineRule="auto"/>
              <w:rPr>
                <w:rFonts w:eastAsia="Times New Roman" w:cs="Times New Roman"/>
                <w:sz w:val="16"/>
                <w:szCs w:val="16"/>
              </w:rPr>
            </w:pPr>
            <w:r w:rsidRPr="000F08FC">
              <w:rPr>
                <w:rFonts w:eastAsia="Times New Roman" w:cs="Times New Roman"/>
                <w:sz w:val="16"/>
                <w:szCs w:val="16"/>
              </w:rPr>
              <w:t>Fecha de aceptación: 2026-0</w:t>
            </w:r>
            <w:r w:rsidR="00983DF8">
              <w:rPr>
                <w:rFonts w:eastAsia="Times New Roman" w:cs="Times New Roman"/>
                <w:sz w:val="16"/>
                <w:szCs w:val="16"/>
              </w:rPr>
              <w:t>2</w:t>
            </w:r>
            <w:r w:rsidRPr="000F08FC">
              <w:rPr>
                <w:rFonts w:eastAsia="Times New Roman" w:cs="Times New Roman"/>
                <w:sz w:val="16"/>
                <w:szCs w:val="16"/>
              </w:rPr>
              <w:t>-</w:t>
            </w:r>
            <w:r w:rsidR="009E780A">
              <w:rPr>
                <w:rFonts w:eastAsia="Times New Roman" w:cs="Times New Roman"/>
                <w:sz w:val="16"/>
                <w:szCs w:val="16"/>
              </w:rPr>
              <w:t>1</w:t>
            </w:r>
            <w:r w:rsidR="009B5A12">
              <w:rPr>
                <w:rFonts w:eastAsia="Times New Roman" w:cs="Times New Roman"/>
                <w:sz w:val="16"/>
                <w:szCs w:val="16"/>
              </w:rPr>
              <w:t>8</w:t>
            </w:r>
          </w:p>
          <w:p w14:paraId="13586FD7" w14:textId="77777777" w:rsidR="00CE4A57" w:rsidRDefault="00CE4A57" w:rsidP="001A2AA2">
            <w:pPr>
              <w:spacing w:after="0" w:line="240" w:lineRule="auto"/>
              <w:rPr>
                <w:rFonts w:eastAsia="Times New Roman" w:cs="Times New Roman"/>
                <w:sz w:val="16"/>
                <w:szCs w:val="16"/>
              </w:rPr>
            </w:pPr>
          </w:p>
          <w:p w14:paraId="42C74972" w14:textId="77777777" w:rsidR="00CE4A57" w:rsidRDefault="00CE4A57" w:rsidP="001A2AA2">
            <w:pPr>
              <w:spacing w:after="0" w:line="240" w:lineRule="auto"/>
              <w:rPr>
                <w:rFonts w:eastAsia="Times New Roman" w:cs="Times New Roman"/>
                <w:sz w:val="16"/>
                <w:szCs w:val="16"/>
              </w:rPr>
            </w:pPr>
          </w:p>
          <w:p w14:paraId="7259790C" w14:textId="77777777" w:rsidR="00CE4A57" w:rsidRPr="000F08FC" w:rsidRDefault="00CE4A57" w:rsidP="001A2AA2">
            <w:pPr>
              <w:spacing w:after="0" w:line="240" w:lineRule="auto"/>
              <w:rPr>
                <w:rFonts w:eastAsia="Times New Roman" w:cs="Times New Roman"/>
                <w:sz w:val="16"/>
                <w:szCs w:val="16"/>
              </w:rPr>
            </w:pPr>
          </w:p>
          <w:p w14:paraId="1C1F2CF7" w14:textId="6E922502" w:rsidR="00F76F46" w:rsidRPr="000F08FC" w:rsidRDefault="00CE4A57" w:rsidP="001A2AA2">
            <w:pPr>
              <w:rPr>
                <w:rFonts w:eastAsia="Times New Roman" w:cs="Times New Roman"/>
                <w:sz w:val="16"/>
                <w:szCs w:val="16"/>
              </w:rPr>
            </w:pPr>
            <w:r w:rsidRPr="000F08FC">
              <w:rPr>
                <w:rFonts w:eastAsia="Times New Roman" w:cs="Times New Roman"/>
                <w:sz w:val="16"/>
                <w:szCs w:val="16"/>
              </w:rPr>
              <w:t>Fecha de publicación: 2026-0</w:t>
            </w:r>
            <w:r w:rsidR="001A2AA2">
              <w:rPr>
                <w:rFonts w:eastAsia="Times New Roman" w:cs="Times New Roman"/>
                <w:sz w:val="16"/>
                <w:szCs w:val="16"/>
              </w:rPr>
              <w:t>3</w:t>
            </w:r>
            <w:r w:rsidRPr="000F08FC">
              <w:rPr>
                <w:rFonts w:eastAsia="Times New Roman" w:cs="Times New Roman"/>
                <w:sz w:val="16"/>
                <w:szCs w:val="16"/>
              </w:rPr>
              <w:t>-</w:t>
            </w:r>
            <w:r w:rsidR="001A2AA2">
              <w:rPr>
                <w:rFonts w:eastAsia="Times New Roman" w:cs="Times New Roman"/>
                <w:sz w:val="16"/>
                <w:szCs w:val="16"/>
              </w:rPr>
              <w:t>0</w:t>
            </w:r>
            <w:r w:rsidR="000312AD">
              <w:rPr>
                <w:rFonts w:eastAsia="Times New Roman" w:cs="Times New Roman"/>
                <w:sz w:val="16"/>
                <w:szCs w:val="16"/>
              </w:rPr>
              <w:t>9</w:t>
            </w:r>
          </w:p>
        </w:tc>
      </w:tr>
    </w:tbl>
    <w:p w14:paraId="5666D14D" w14:textId="38B4CCAB" w:rsidR="00523375" w:rsidRPr="00FB3576" w:rsidRDefault="000F08FC" w:rsidP="00983DF8">
      <w:pPr>
        <w:spacing w:before="240"/>
        <w:rPr>
          <w:b/>
          <w:bCs/>
        </w:rPr>
      </w:pPr>
      <w:r w:rsidRPr="00FB3576">
        <w:rPr>
          <w:b/>
          <w:bCs/>
        </w:rPr>
        <w:t>Resumen</w:t>
      </w:r>
    </w:p>
    <w:p w14:paraId="5065B978" w14:textId="77777777" w:rsidR="00AB74EE" w:rsidRPr="00AB74EE" w:rsidRDefault="00AB74EE" w:rsidP="00AB74EE">
      <w:pPr>
        <w:rPr>
          <w:rFonts w:eastAsia="Times New Roman" w:cs="Arial"/>
          <w:szCs w:val="20"/>
          <w:lang w:val="es-EC" w:eastAsia="es-EC"/>
        </w:rPr>
      </w:pPr>
      <w:r w:rsidRPr="00AB74EE">
        <w:rPr>
          <w:rFonts w:eastAsia="Times New Roman" w:cs="Arial"/>
          <w:szCs w:val="20"/>
          <w:lang w:val="es-EC" w:eastAsia="es-EC"/>
        </w:rPr>
        <w:t xml:space="preserve">La transformación digital acelerada y la creciente inversión en infraestructura tecnológica han redefinido las exigencias de la planificación estratégica financiera en organizaciones que incorporan procesos de innovación tecnológica. El estudio tuvo como objetivo analizar la relación estructural entre planificación estratégica financiera, indicadores de conectividad digital, inversión sectorial y desempeño financiero. Se empleó un enfoque cuantitativo explicativo basado en información estadística oficial y se aplicaron técnicas avanzadas como regresión lineal múltiple con regularización Ridge, correlación de Spearman, pruebas de normalidad Shapiro </w:t>
      </w:r>
      <w:proofErr w:type="spellStart"/>
      <w:r w:rsidRPr="00AB74EE">
        <w:rPr>
          <w:rFonts w:eastAsia="Times New Roman" w:cs="Arial"/>
          <w:szCs w:val="20"/>
          <w:lang w:val="es-EC" w:eastAsia="es-EC"/>
        </w:rPr>
        <w:t>Wilk</w:t>
      </w:r>
      <w:proofErr w:type="spellEnd"/>
      <w:r w:rsidRPr="00AB74EE">
        <w:rPr>
          <w:rFonts w:eastAsia="Times New Roman" w:cs="Arial"/>
          <w:szCs w:val="20"/>
          <w:lang w:val="es-EC" w:eastAsia="es-EC"/>
        </w:rPr>
        <w:t>, diagnóstico de multicolinealidad y validación de supuestos econométricos. Los resultados evidencian una expansión sostenida de la conectividad digital con incremento del acceso a internet en hogares hasta 62.2 % y un uso poblacional de 72.7 %. Se identificó correlación positiva moderada entre acceso y uso digital (ρ = 0.50). La inversión sectorial en conectividad superó 733.60 millones USD con participación privada de 85.53 %. El modelo Ridge mostró coeficiente positivo (β ≈ 0.116) entre expansión digital y desempeño financiero, mientras el método LASSO confirmó la relevancia de inversión tecnológica y planificación financiera como predictores estructurales de sostenibilidad presupuestaria, eficiencia organizacional y capacidad de innovación institucional en entornos digitalizados altamente competitivos y dinámicos que requieren asignación estratégica de recursos financieros.</w:t>
      </w:r>
    </w:p>
    <w:p w14:paraId="591B0DCC" w14:textId="4BCEFA10" w:rsidR="0064739B" w:rsidRPr="00AB74EE" w:rsidRDefault="00AB74EE" w:rsidP="0064739B">
      <w:pPr>
        <w:rPr>
          <w:rFonts w:cs="Arial"/>
          <w:szCs w:val="20"/>
        </w:rPr>
      </w:pPr>
      <w:r w:rsidRPr="00AB74EE">
        <w:rPr>
          <w:rFonts w:eastAsia="Times New Roman" w:cs="Arial"/>
          <w:b/>
          <w:bCs/>
          <w:szCs w:val="20"/>
          <w:lang w:val="es-EC" w:eastAsia="es-EC"/>
        </w:rPr>
        <w:t>Palabras clave:</w:t>
      </w:r>
      <w:r w:rsidRPr="00AB74EE">
        <w:rPr>
          <w:rFonts w:eastAsia="Times New Roman" w:cs="Arial"/>
          <w:szCs w:val="20"/>
          <w:lang w:val="es-EC" w:eastAsia="es-EC"/>
        </w:rPr>
        <w:t xml:space="preserve"> Finanzas, innovación tecnológica, inversión digital, conectividad, sostenibilidad.</w:t>
      </w:r>
    </w:p>
    <w:p w14:paraId="1C36B376" w14:textId="45E4A953" w:rsidR="0031634D" w:rsidRPr="00B94167" w:rsidRDefault="00AB74EE" w:rsidP="00AA0750">
      <w:pPr>
        <w:jc w:val="center"/>
        <w:rPr>
          <w:rFonts w:cs="Arial"/>
          <w:b/>
          <w:bCs/>
          <w:lang w:val="en-US"/>
        </w:rPr>
      </w:pPr>
      <w:r w:rsidRPr="00AB74EE">
        <w:rPr>
          <w:rStyle w:val="Textoennegrita"/>
          <w:rFonts w:cs="Arial"/>
          <w:szCs w:val="20"/>
          <w:lang w:val="en-US"/>
        </w:rPr>
        <w:lastRenderedPageBreak/>
        <w:t>Integrated financial strategic planning linked to technological innovation processes</w:t>
      </w:r>
    </w:p>
    <w:p w14:paraId="72ECDFCE" w14:textId="1F65B753" w:rsidR="00CE4A57" w:rsidRPr="00FB3576" w:rsidRDefault="00CE4A57" w:rsidP="006A2844">
      <w:pPr>
        <w:rPr>
          <w:b/>
          <w:bCs/>
          <w:lang w:val="en-US"/>
        </w:rPr>
      </w:pPr>
      <w:r w:rsidRPr="00FB3576">
        <w:rPr>
          <w:b/>
          <w:bCs/>
          <w:lang w:val="en-US"/>
        </w:rPr>
        <w:t>Abstract</w:t>
      </w:r>
    </w:p>
    <w:p w14:paraId="3A530E34" w14:textId="77777777" w:rsidR="007C1D32" w:rsidRPr="007C1D32" w:rsidRDefault="007C1D32" w:rsidP="007C1D32">
      <w:pPr>
        <w:rPr>
          <w:rFonts w:eastAsia="Times New Roman" w:cs="Arial"/>
          <w:szCs w:val="20"/>
          <w:lang w:val="en-US" w:eastAsia="es-EC"/>
        </w:rPr>
      </w:pPr>
      <w:r w:rsidRPr="007C1D32">
        <w:rPr>
          <w:rFonts w:eastAsia="Times New Roman" w:cs="Arial"/>
          <w:szCs w:val="20"/>
          <w:lang w:val="en-US" w:eastAsia="es-EC"/>
        </w:rPr>
        <w:t>Accelerated digital transformation and the growing investment in technological infrastructure have redefined the requirements of financial strategic planning in organizations implementing technological innovation processes. The study aimed to analyze the structural relationship between financial strategic planning, digital connectivity indicators, sectoral investment, and financial performance. A quantitative explanatory approach was employed using official statistical information, applying advanced techniques such as multiple linear regression with Ridge regularization, Spearman correlation analysis, Shapiro–Wilk normality tests, multicollinearity diagnostics, and econometric assumption validation. The results show a sustained expansion of digital connectivity, with household internet access reaching 62.2% and internet use among the population reaching 72.7%. A moderate positive correlation was identified between access and digital use (ρ = 0.50). Sectoral investment in connectivity exceeded USD 733.60 million, with private investment representing 85.53% of the total. The Ridge regression model revealed a positive coefficient (β ≈ 0.116) between digital expansion and financial performance, while the LASSO method confirmed technological investment and financial strategic planning as key structural predictors of budgetary sustainability, organizational efficiency, and institutional innovation capacity. These findings demonstrate that integrating financial strategic planning with technological innovation strengthens strategic resource allocation and improves financial performance in highly digitalized and competitive environments that demand adaptive financial management models.</w:t>
      </w:r>
    </w:p>
    <w:p w14:paraId="637EC52F" w14:textId="1F54B82F" w:rsidR="0068117F" w:rsidRPr="0068117F" w:rsidRDefault="007C1D32" w:rsidP="007C1D32">
      <w:pPr>
        <w:rPr>
          <w:rFonts w:eastAsia="Times New Roman" w:cs="Arial"/>
          <w:szCs w:val="20"/>
          <w:lang w:val="en-US" w:eastAsia="es-EC"/>
        </w:rPr>
      </w:pPr>
      <w:r w:rsidRPr="007C1D32">
        <w:rPr>
          <w:rFonts w:eastAsia="Times New Roman" w:cs="Arial"/>
          <w:b/>
          <w:bCs/>
          <w:szCs w:val="20"/>
          <w:lang w:val="en-US" w:eastAsia="es-EC"/>
        </w:rPr>
        <w:t>Keywords:</w:t>
      </w:r>
      <w:r w:rsidRPr="007C1D32">
        <w:rPr>
          <w:rFonts w:eastAsia="Times New Roman" w:cs="Arial"/>
          <w:szCs w:val="20"/>
          <w:lang w:val="en-US" w:eastAsia="es-EC"/>
        </w:rPr>
        <w:t xml:space="preserve"> Finance, technological innovation, digital investment, connectivity, sustainability.</w:t>
      </w:r>
    </w:p>
    <w:p w14:paraId="30B58DA3" w14:textId="6BEA2666" w:rsidR="00983DF8" w:rsidRDefault="000F08FC" w:rsidP="005F6F10">
      <w:pPr>
        <w:tabs>
          <w:tab w:val="left" w:pos="7662"/>
        </w:tabs>
        <w:rPr>
          <w:b/>
          <w:bCs/>
        </w:rPr>
      </w:pPr>
      <w:r w:rsidRPr="00FB3576">
        <w:rPr>
          <w:b/>
          <w:bCs/>
        </w:rPr>
        <w:t>Introducción</w:t>
      </w:r>
      <w:r w:rsidR="005F6F10">
        <w:rPr>
          <w:b/>
          <w:bCs/>
        </w:rPr>
        <w:tab/>
      </w:r>
    </w:p>
    <w:p w14:paraId="791CB8AB"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 xml:space="preserve">La aceleración de la digitalización y la adopción de tecnologías habilitantes han reconfigurado la forma en que las organizaciones diseñan su dirección estratégica y gestionan sus capacidades de financiamiento para sostener procesos de innovación. En este marco, la planificación estratégica financiera deja de operar como un ejercicio presupuestario aislado y pasa a constituirse en un sistema de decisiones que articula prioridades de inversión, estructura de costos, asignación de recursos y control de riesgos, con el fin de convertir la innovación tecnológica en resultados verificables de productividad, competitividad y sostenibilidad institucional (Trujillo Valdiviezo et al., 2022). </w:t>
      </w:r>
    </w:p>
    <w:p w14:paraId="5DE561B2"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 xml:space="preserve">La literatura reciente advierte que la transformación digital incrementa la complejidad de la gestión por la coexistencia de proyectos tecnológicos de rápida obsolescencia, restricciones de liquidez y mayores exigencias de trazabilidad de la inversión. En consecuencia, la planificación financiera estratégica requiere incorporar criterios de portafolio, evaluación de retornos esperados y mecanismos de gobernanza que permitan sostener la innovación sin comprometer la estabilidad financiera y operativa, especialmente en organizaciones con limitaciones estructurales de capacidades internas (Del Do et al., 2023). </w:t>
      </w:r>
    </w:p>
    <w:p w14:paraId="43E1C0F5"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 xml:space="preserve">Bajo esta lógica, el vínculo entre innovación y desempeño financiero se fortalece cuando existen capacidades gerenciales para traducir conocimiento y activos intangibles en mejoras de procesos, </w:t>
      </w:r>
      <w:r w:rsidRPr="007C1D32">
        <w:rPr>
          <w:rFonts w:eastAsia="Times New Roman" w:cs="Arial"/>
          <w:szCs w:val="20"/>
          <w:lang w:val="es-EC" w:eastAsia="es-EC"/>
        </w:rPr>
        <w:lastRenderedPageBreak/>
        <w:t xml:space="preserve">diversificación de oferta y ventajas competitivas. En organizaciones que dependen de aprendizaje organizacional y gestión del capital intelectual, la innovación tecnológica se expresa con mayor robustez cuando la planificación define metas medibles, define fuentes de financiamiento y establece responsabilidades de ejecución y control (Erazo, 2021). </w:t>
      </w:r>
    </w:p>
    <w:p w14:paraId="46B441EF"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 xml:space="preserve">En contextos empresariales de economías latinoamericanas, la evidencia indica que las prácticas de dirección y planificación se ven condicionadas por estructuras organizativas, estilos de gestión y formas de control que influyen en la eficiencia de la toma de decisiones y en la disciplina financiera. Esto es relevante porque la innovación tecnológica exige coherencia entre estrategia, estructura y sistemas de control para evitar inversiones fragmentadas, duplicidad de esfuerzos y baja captura de valor de la tecnología implementada (Aguirre Benalcázar et al., 2021). </w:t>
      </w:r>
    </w:p>
    <w:p w14:paraId="0C5239E1"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 xml:space="preserve">De manera complementaria, la planificación estratégica financiera integrada a la innovación requiere una lectura sistémica de la cadena de valor, debido a que la digitalización modifica actividades primarias y de soporte, redefine indicadores de desempeño y altera la arquitectura de costos. Por consiguiente, la estrategia financiera debe anticipar impactos en productividad, calidad, logística, comercialización y servicio, con instrumentos de seguimiento que permitan verificar la contribución tecnológica a metas institucionales (Ramírez Molina et al., 2021). </w:t>
      </w:r>
    </w:p>
    <w:p w14:paraId="49832E3A"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 xml:space="preserve">A nivel de gestión, un componente crítico es la operacionalización de modelos financieros que conviertan objetivos estratégicos en rutinas de control, </w:t>
      </w:r>
      <w:proofErr w:type="spellStart"/>
      <w:r w:rsidRPr="007C1D32">
        <w:rPr>
          <w:rFonts w:eastAsia="Times New Roman" w:cs="Arial"/>
          <w:szCs w:val="20"/>
          <w:lang w:val="es-EC" w:eastAsia="es-EC"/>
        </w:rPr>
        <w:t>reportabilidad</w:t>
      </w:r>
      <w:proofErr w:type="spellEnd"/>
      <w:r w:rsidRPr="007C1D32">
        <w:rPr>
          <w:rFonts w:eastAsia="Times New Roman" w:cs="Arial"/>
          <w:szCs w:val="20"/>
          <w:lang w:val="es-EC" w:eastAsia="es-EC"/>
        </w:rPr>
        <w:t xml:space="preserve"> y mejora. Cuando se integran modelos de gestión financiera con criterios de decisión, se incrementa la capacidad de priorizar inversiones tecnológicas y de sostener ciclos de innovación con mayor racionalidad económica, lo que reduce desviaciones presupuestarias y fortalece la disciplina de ejecución (</w:t>
      </w:r>
      <w:proofErr w:type="spellStart"/>
      <w:r w:rsidRPr="007C1D32">
        <w:rPr>
          <w:rFonts w:eastAsia="Times New Roman" w:cs="Arial"/>
          <w:szCs w:val="20"/>
          <w:lang w:val="es-EC" w:eastAsia="es-EC"/>
        </w:rPr>
        <w:t>Ugando</w:t>
      </w:r>
      <w:proofErr w:type="spellEnd"/>
      <w:r w:rsidRPr="007C1D32">
        <w:rPr>
          <w:rFonts w:eastAsia="Times New Roman" w:cs="Arial"/>
          <w:szCs w:val="20"/>
          <w:lang w:val="es-EC" w:eastAsia="es-EC"/>
        </w:rPr>
        <w:t xml:space="preserve"> Peñate et al., 2023). </w:t>
      </w:r>
    </w:p>
    <w:p w14:paraId="48913778"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 xml:space="preserve">Asimismo, el enfoque de innovación como estrategia organizacional se potencia cuando existen plataformas institucionales de coordinación, cooperación y creación de valor, como los parques científicos y los esquemas de articulación universidad empresa Estado. Estos entornos demandan planificación financiera estratégica para estructurar proyectos, atraer recursos, administrar riesgos y asegurar continuidad de iniciativas tecnológicas, evitando brechas entre ideación, transferencia y escalamiento (López Arellano et al., 2022). </w:t>
      </w:r>
    </w:p>
    <w:p w14:paraId="0609CC9E"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 xml:space="preserve">Desde esta perspectiva, esta investigación se orienta a analizar la planificación estratégica financiera integrada a procesos de innovación tecnológica como un mecanismo de alineación entre decisiones de inversión, control y desempeño, con énfasis en la forma en que la organización gestiona prioridades, recursos y resultados en escenarios de cambio tecnológico (Núñez Lira et al., 2023). El objetivo del estudio es explicar cómo la integración de la planificación financiera estratégica con la innovación tecnológica contribuye a fortalecer la coherencia decisional y la sostenibilidad de los proyectos tecnológicos, considerando criterios de gestión, seguimiento e institucionalización de la innovación </w:t>
      </w:r>
    </w:p>
    <w:p w14:paraId="40FB6A98" w14:textId="77777777" w:rsidR="007C1D32" w:rsidRPr="007C1D32" w:rsidRDefault="007C1D32" w:rsidP="007C1D32">
      <w:pPr>
        <w:rPr>
          <w:rFonts w:eastAsia="Times New Roman" w:cs="Arial"/>
          <w:b/>
          <w:bCs/>
          <w:szCs w:val="20"/>
          <w:lang w:val="es-EC" w:eastAsia="es-EC"/>
        </w:rPr>
      </w:pPr>
      <w:r w:rsidRPr="007C1D32">
        <w:rPr>
          <w:rFonts w:eastAsia="Times New Roman" w:cs="Arial"/>
          <w:b/>
          <w:bCs/>
          <w:szCs w:val="20"/>
          <w:lang w:val="es-EC" w:eastAsia="es-EC"/>
        </w:rPr>
        <w:t>Planificación estratégica financiera orientada a portafolios de innovación tecnológica</w:t>
      </w:r>
    </w:p>
    <w:p w14:paraId="08350E9B"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 xml:space="preserve">En organizaciones que incorporan herramientas de analítica avanzada para optimizar su estructura de costos y proyectar flujos de caja, la decisión tecnológica suele estar precedida por un ejercicio </w:t>
      </w:r>
      <w:r w:rsidRPr="007C1D32">
        <w:rPr>
          <w:rFonts w:eastAsia="Times New Roman" w:cs="Arial"/>
          <w:szCs w:val="20"/>
          <w:lang w:val="es-EC" w:eastAsia="es-EC"/>
        </w:rPr>
        <w:lastRenderedPageBreak/>
        <w:t>de planificación estratégica financiera que define prioridades de inversión, niveles de riesgo aceptables y metas de retorno. En este sentido, la planificación no opera como un instrumento presupuestario estático, sino como un sistema dinámico de asignación de capital alineado con procesos de innovación tecnológica (Landa &amp; Silva, 2021).</w:t>
      </w:r>
    </w:p>
    <w:p w14:paraId="767E0B6D"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La literatura reciente sostiene que la incertidumbre asociada a la innovación exige integrar análisis de escenarios, estimaciones probabilísticas y criterios de selección de proyectos en la estructuración del portafolio tecnológico. Bajo esta lógica, la evaluación financiera incorpora no solo rentabilidad esperada, sino también impacto estratégico y sostenibilidad operativa (Berrocal, 2021).</w:t>
      </w:r>
    </w:p>
    <w:p w14:paraId="5C893A80"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La gestión estratégica de la innovación evidencia mejores resultados cuando existen rutinas formales de planificación y control que acompañan el proceso innovador, fortaleciendo la coherencia entre inversión y desempeño organizacional (Apolinario &amp; Guevara, 2021). Del mismo modo, la relación entre innovación y productividad se consolida cuando la asignación de recursos responde a objetivos estratégicos previamente definidos (Barrios, 2021).</w:t>
      </w:r>
    </w:p>
    <w:p w14:paraId="17961B8A"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En contextos asociados a la industria 4.0, la inversión en automatización, sistemas inteligentes y competencias digitales modifica la estructura tradicional del gasto, desplazándolo hacia activos intangibles y capital humano especializado. Esta transformación obliga a replantear criterios de evaluación financiera e incorporar horizontes temporales más amplios y métricas tecnológicas específicas (Ahumada, 2022).</w:t>
      </w:r>
    </w:p>
    <w:p w14:paraId="74AB4B35"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La integración tecnológica en procesos administrativos ha demostrado generar mejoras en eficiencia financiera siempre que el diseño estratégico contemple costos indirectos, adaptación organizacional y gestión del cambio, evitando sobreestimaciones de beneficios proyectados (</w:t>
      </w:r>
      <w:proofErr w:type="spellStart"/>
      <w:r w:rsidRPr="007C1D32">
        <w:rPr>
          <w:rFonts w:eastAsia="Times New Roman" w:cs="Arial"/>
          <w:szCs w:val="20"/>
          <w:lang w:val="es-EC" w:eastAsia="es-EC"/>
        </w:rPr>
        <w:t>Mayett</w:t>
      </w:r>
      <w:proofErr w:type="spellEnd"/>
      <w:r w:rsidRPr="007C1D32">
        <w:rPr>
          <w:rFonts w:eastAsia="Times New Roman" w:cs="Arial"/>
          <w:szCs w:val="20"/>
          <w:lang w:val="es-EC" w:eastAsia="es-EC"/>
        </w:rPr>
        <w:t>, 2022).</w:t>
      </w:r>
    </w:p>
    <w:p w14:paraId="6A71146E"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Asimismo, el uso de modelos predictivos basados en aprendizaje automático ha fortalecido la toma de decisiones financieras al reducir incertidumbre en la estimación de riesgos, particularmente en escenarios donde la información constituye un activo estratégico (Molina, 2023). En paralelo, la expansión de instrumentos digitales de inclusión financiera modifica la arquitectura de ingresos y costos, lo que exige una planificación rigurosa que preserve equilibrio presupuestario (Martínez et al., 2022).</w:t>
      </w:r>
    </w:p>
    <w:p w14:paraId="0F29BA9F"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La adopción de estándares contables orientados a pequeñas y medianas organizaciones también contribuye a consolidar marcos de control y comparabilidad, fortaleciendo la calidad de la información utilizada en decisiones de inversión tecnológica (Encarnación, 2022).</w:t>
      </w:r>
    </w:p>
    <w:p w14:paraId="4EE92680" w14:textId="77777777" w:rsidR="007C1D32" w:rsidRPr="007C1D32" w:rsidRDefault="007C1D32" w:rsidP="007C1D32">
      <w:pPr>
        <w:rPr>
          <w:rFonts w:eastAsia="Times New Roman" w:cs="Arial"/>
          <w:b/>
          <w:bCs/>
          <w:szCs w:val="20"/>
          <w:lang w:val="es-EC" w:eastAsia="es-EC"/>
        </w:rPr>
      </w:pPr>
      <w:r w:rsidRPr="007C1D32">
        <w:rPr>
          <w:rFonts w:eastAsia="Times New Roman" w:cs="Arial"/>
          <w:b/>
          <w:bCs/>
          <w:szCs w:val="20"/>
          <w:lang w:val="es-EC" w:eastAsia="es-EC"/>
        </w:rPr>
        <w:t>Gobierno, control de gestión y arquitectura digital para la sostenibilidad financiera de la innovación</w:t>
      </w:r>
    </w:p>
    <w:p w14:paraId="6176D3F1"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En procesos de modernización institucional donde se incorporan plataformas digitales para garantizar trazabilidad y seguridad en operaciones financieras, la planificación estratégica integra simultáneamente criterios de gobernanza y control de gestión que aseguran coherencia entre inversión tecnológica y sostenibilidad financiera (Galarza et al., 2023).</w:t>
      </w:r>
    </w:p>
    <w:p w14:paraId="26AD9D6B"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 xml:space="preserve">Las investigaciones sobre sistemas de control indican que la transformación digital demanda modernizar los mecanismos tradicionales de seguimiento presupuestario, incorporando </w:t>
      </w:r>
      <w:r w:rsidRPr="007C1D32">
        <w:rPr>
          <w:rFonts w:eastAsia="Times New Roman" w:cs="Arial"/>
          <w:szCs w:val="20"/>
          <w:lang w:val="es-EC" w:eastAsia="es-EC"/>
        </w:rPr>
        <w:lastRenderedPageBreak/>
        <w:t>herramientas analíticas que permitan evaluar desempeño en tiempo real y corregir desviaciones oportunamente (Hernández &amp; Vivanco, 2023). Desde el ámbito jurídico financiero, la adopción de tecnologías disruptivas introduce exigencias regulatorias vinculadas a protección de datos, cumplimiento normativo y responsabilidad institucional, elementos que deben considerarse en la planificación estratégica para evitar riesgos patrimoniales no previstos (Velasco, 2022).</w:t>
      </w:r>
    </w:p>
    <w:p w14:paraId="6D7CD5AE"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La inteligencia de negocios y la analítica avanzada fortalecen la agilidad organizacional al proporcionar información estratégica para decisiones financieras más precisas, mejorando la alineación entre metas institucionales e inversión tecnológica (Gómez &amp; Giraldo, 2023).</w:t>
      </w:r>
    </w:p>
    <w:p w14:paraId="691E5CCF"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La transición hacia modelos digitales integrados en la relación con usuarios o clientes requiere presupuestos que contemplen infraestructura tecnológica, rediseño de procesos y capacitación especializada, incorporando indicadores financieros y operativos que permitan evaluar el impacto real en desempeño (Roldán et al., 2022). Por otra parte, la auditoría prospectiva apoyada en inteligencia artificial redefine el control financiero al anticipar riesgos y optimizar la asignación de recursos hacia áreas críticas, fortaleciendo la disciplina presupuestaria y la sostenibilidad de proyectos tecnológicos (Erazo &amp; De la A, 2023).</w:t>
      </w:r>
    </w:p>
    <w:p w14:paraId="4CDB60EB" w14:textId="77777777" w:rsidR="007C1D32" w:rsidRPr="007C1D32" w:rsidRDefault="007C1D32" w:rsidP="007C1D32">
      <w:pPr>
        <w:rPr>
          <w:rFonts w:eastAsia="Times New Roman" w:cs="Arial"/>
          <w:szCs w:val="20"/>
          <w:lang w:val="es-EC" w:eastAsia="es-EC"/>
        </w:rPr>
      </w:pPr>
      <w:r w:rsidRPr="007C1D32">
        <w:rPr>
          <w:rFonts w:eastAsia="Times New Roman" w:cs="Arial"/>
          <w:szCs w:val="20"/>
          <w:lang w:val="es-EC" w:eastAsia="es-EC"/>
        </w:rPr>
        <w:t>La alineación entre estrategia e innovación se consolida cuando la planificación financiera incluye mecanismos periódicos de revisión y evaluación del desempeño tecnológico, reduciendo la dispersión de recursos y mejorando la competitividad organizacional (Higuera, 2021).</w:t>
      </w:r>
    </w:p>
    <w:p w14:paraId="310A1C3D" w14:textId="1721EA8B" w:rsidR="005F6F10" w:rsidRPr="00B94167" w:rsidRDefault="007C1D32" w:rsidP="007C1D32">
      <w:pPr>
        <w:rPr>
          <w:rFonts w:eastAsia="Times New Roman" w:cs="Arial"/>
          <w:szCs w:val="20"/>
          <w:lang w:eastAsia="es-EC"/>
        </w:rPr>
      </w:pPr>
      <w:r w:rsidRPr="007C1D32">
        <w:rPr>
          <w:rFonts w:eastAsia="Times New Roman" w:cs="Arial"/>
          <w:szCs w:val="20"/>
          <w:lang w:val="es-EC" w:eastAsia="es-EC"/>
        </w:rPr>
        <w:t xml:space="preserve">En entornos </w:t>
      </w:r>
      <w:proofErr w:type="spellStart"/>
      <w:r w:rsidRPr="007C1D32">
        <w:rPr>
          <w:rFonts w:eastAsia="Times New Roman" w:cs="Arial"/>
          <w:szCs w:val="20"/>
          <w:lang w:val="es-EC" w:eastAsia="es-EC"/>
        </w:rPr>
        <w:t>fintech</w:t>
      </w:r>
      <w:proofErr w:type="spellEnd"/>
      <w:r w:rsidRPr="007C1D32">
        <w:rPr>
          <w:rFonts w:eastAsia="Times New Roman" w:cs="Arial"/>
          <w:szCs w:val="20"/>
          <w:lang w:val="es-EC" w:eastAsia="es-EC"/>
        </w:rPr>
        <w:t>, la convergencia entre inteligencia artificial y servicios financieros transforma procesos de evaluación y gestión del riesgo, lo que exige marcos estratégicos adaptativos que integren control, transparencia y sostenibilidad en la arquitectura financiera (López, 2023).</w:t>
      </w:r>
      <w:r w:rsidR="0031634D" w:rsidRPr="0031634D">
        <w:rPr>
          <w:rFonts w:cs="Arial"/>
          <w:szCs w:val="20"/>
        </w:rPr>
        <w:t xml:space="preserve"> </w:t>
      </w:r>
    </w:p>
    <w:p w14:paraId="7AFBD681" w14:textId="7D5F68E1" w:rsidR="00523375" w:rsidRDefault="000F08FC" w:rsidP="005F6F10">
      <w:pPr>
        <w:pStyle w:val="Ttulo1"/>
        <w:spacing w:before="163"/>
        <w:ind w:left="0"/>
        <w:rPr>
          <w:spacing w:val="-2"/>
        </w:rPr>
      </w:pPr>
      <w:r w:rsidRPr="00F76F46">
        <w:t>Materiales</w:t>
      </w:r>
      <w:r w:rsidR="00D828F5" w:rsidRPr="00F76F46">
        <w:rPr>
          <w:spacing w:val="-8"/>
        </w:rPr>
        <w:t xml:space="preserve"> </w:t>
      </w:r>
      <w:r w:rsidRPr="00F76F46">
        <w:t>y</w:t>
      </w:r>
      <w:r w:rsidR="00D828F5" w:rsidRPr="00F76F46">
        <w:rPr>
          <w:spacing w:val="-5"/>
        </w:rPr>
        <w:t xml:space="preserve"> </w:t>
      </w:r>
      <w:r w:rsidRPr="00F76F46">
        <w:rPr>
          <w:spacing w:val="-2"/>
        </w:rPr>
        <w:t>métodos</w:t>
      </w:r>
    </w:p>
    <w:p w14:paraId="73C8E959" w14:textId="77777777" w:rsidR="007C1D32" w:rsidRPr="007C1D32" w:rsidRDefault="007C1D32" w:rsidP="007C1D32">
      <w:pPr>
        <w:outlineLvl w:val="2"/>
        <w:rPr>
          <w:rFonts w:eastAsia="Times New Roman" w:cs="Arial"/>
          <w:szCs w:val="20"/>
          <w:lang w:eastAsia="es-EC"/>
        </w:rPr>
      </w:pPr>
      <w:r w:rsidRPr="007C1D32">
        <w:rPr>
          <w:rFonts w:eastAsia="Times New Roman" w:cs="Arial"/>
          <w:szCs w:val="20"/>
          <w:lang w:eastAsia="es-EC"/>
        </w:rPr>
        <w:t>En correspondencia con el objetivo de explicar la articulación entre planificación estratégica financiera y procesos de innovación tecnológica, el estudio se desarrolló bajo un enfoque cuantitativo de alcance explicativo, sustentado en un diseño no experimental y longitudinal. La unidad analítica estuvo conformada por indicadores agregados de inversión tecnológica, intensidad digital, planificación financiera estratégica y desempeño económico financiero, con énfasis en su comportamiento estructural y relacional.</w:t>
      </w:r>
    </w:p>
    <w:p w14:paraId="7DACEB45" w14:textId="77777777" w:rsidR="007C1D32" w:rsidRPr="007C1D32" w:rsidRDefault="007C1D32" w:rsidP="007C1D32">
      <w:pPr>
        <w:outlineLvl w:val="2"/>
        <w:rPr>
          <w:rFonts w:eastAsia="Times New Roman" w:cs="Arial"/>
          <w:szCs w:val="20"/>
          <w:lang w:eastAsia="es-EC"/>
        </w:rPr>
      </w:pPr>
      <w:r w:rsidRPr="007C1D32">
        <w:rPr>
          <w:rFonts w:eastAsia="Times New Roman" w:cs="Arial"/>
          <w:szCs w:val="20"/>
          <w:lang w:eastAsia="es-EC"/>
        </w:rPr>
        <w:t>En lo que respecta a la recolección de información, se recurrió exclusivamente a fuentes secundarias oficiales, priorizando informes técnicos y bases de datos emitidos por ministerios de economía y finanzas, bancos centrales, institutos nacionales de estadística, superintendencias financieras, organismos multilaterales y agencias internacionales especializadas en innovación, competitividad y desarrollo tecnológico. Entre los indicadores seleccionados se incluyeron gasto en investigación y desarrollo, inversión en tecnologías digitales, ejecución presupuestaria, niveles de adopción tecnológica, productividad sectorial y métricas de rentabilidad institucional. Dichos datos fueron sometidos a procesos de validación cruzada, estandarización de unidades de medida y depuración de inconsistencias, garantizando homogeneidad temporal y coherencia metodológica.</w:t>
      </w:r>
    </w:p>
    <w:p w14:paraId="6DCAC4A7" w14:textId="77777777" w:rsidR="007C1D32" w:rsidRPr="007C1D32" w:rsidRDefault="007C1D32" w:rsidP="007C1D32">
      <w:pPr>
        <w:outlineLvl w:val="2"/>
        <w:rPr>
          <w:rFonts w:eastAsia="Times New Roman" w:cs="Arial"/>
          <w:szCs w:val="20"/>
          <w:lang w:eastAsia="es-EC"/>
        </w:rPr>
      </w:pPr>
      <w:r w:rsidRPr="007C1D32">
        <w:rPr>
          <w:rFonts w:eastAsia="Times New Roman" w:cs="Arial"/>
          <w:szCs w:val="20"/>
          <w:lang w:eastAsia="es-EC"/>
        </w:rPr>
        <w:t xml:space="preserve">Posteriormente, se construyó una matriz consolidada de datos mediante normalización y transformación logarítmica en variables con alta dispersión, a fin de mejorar la estabilidad de los </w:t>
      </w:r>
      <w:r w:rsidRPr="007C1D32">
        <w:rPr>
          <w:rFonts w:eastAsia="Times New Roman" w:cs="Arial"/>
          <w:szCs w:val="20"/>
          <w:lang w:eastAsia="es-EC"/>
        </w:rPr>
        <w:lastRenderedPageBreak/>
        <w:t xml:space="preserve">modelos estimados. En esta fase preliminar se aplicó la prueba de Shapiro </w:t>
      </w:r>
      <w:proofErr w:type="spellStart"/>
      <w:r w:rsidRPr="007C1D32">
        <w:rPr>
          <w:rFonts w:eastAsia="Times New Roman" w:cs="Arial"/>
          <w:szCs w:val="20"/>
          <w:lang w:eastAsia="es-EC"/>
        </w:rPr>
        <w:t>Wilk</w:t>
      </w:r>
      <w:proofErr w:type="spellEnd"/>
      <w:r w:rsidRPr="007C1D32">
        <w:rPr>
          <w:rFonts w:eastAsia="Times New Roman" w:cs="Arial"/>
          <w:szCs w:val="20"/>
          <w:lang w:eastAsia="es-EC"/>
        </w:rPr>
        <w:t xml:space="preserve"> para verificar supuestos de normalidad, lo cual permitió determinar la pertinencia de técnicas paramétricas y no paramétricas en el análisis inferencial.</w:t>
      </w:r>
    </w:p>
    <w:p w14:paraId="16E72DFC" w14:textId="77777777" w:rsidR="007C1D32" w:rsidRPr="007C1D32" w:rsidRDefault="007C1D32" w:rsidP="007C1D32">
      <w:pPr>
        <w:outlineLvl w:val="2"/>
        <w:rPr>
          <w:rFonts w:eastAsia="Times New Roman" w:cs="Arial"/>
          <w:szCs w:val="20"/>
          <w:lang w:eastAsia="es-EC"/>
        </w:rPr>
      </w:pPr>
      <w:r w:rsidRPr="007C1D32">
        <w:rPr>
          <w:rFonts w:eastAsia="Times New Roman" w:cs="Arial"/>
          <w:szCs w:val="20"/>
          <w:lang w:eastAsia="es-EC"/>
        </w:rPr>
        <w:t>En una etapa subsiguiente, se estimó un modelo de regresión lineal múltiple con el propósito de cuantificar la incidencia de la inversión en innovación tecnológica, la intensidad digital y la formalización de la planificación financiera estratégica sobre el desempeño financiero y la sostenibilidad presupuestaria. Se analizaron coeficientes beta estandarizados, valores p, intervalos de confianza al 95 % y coeficientes de determinación ajustados, lo que posibilitó evaluar la magnitud explicativa y la significancia estadística de las relaciones estructurales planteadas.</w:t>
      </w:r>
    </w:p>
    <w:p w14:paraId="3DDBE501" w14:textId="77777777" w:rsidR="007C1D32" w:rsidRPr="007C1D32" w:rsidRDefault="007C1D32" w:rsidP="007C1D32">
      <w:pPr>
        <w:outlineLvl w:val="2"/>
        <w:rPr>
          <w:rFonts w:eastAsia="Times New Roman" w:cs="Arial"/>
          <w:szCs w:val="20"/>
          <w:lang w:eastAsia="es-EC"/>
        </w:rPr>
      </w:pPr>
      <w:r w:rsidRPr="007C1D32">
        <w:rPr>
          <w:rFonts w:eastAsia="Times New Roman" w:cs="Arial"/>
          <w:szCs w:val="20"/>
          <w:lang w:eastAsia="es-EC"/>
        </w:rPr>
        <w:t>De manera complementaria, y con el objetivo de optimizar la selección de variables relevantes dentro del conjunto de predictores, se incorporó el método LASSO, técnica de regularización que penaliza coeficientes no significativos y reduce el riesgo de sobreajuste en modelos con alta colinealidad. Esta aproximación permitió identificar los factores financieros y tecnológicos con mayor peso explicativo, fortaleciendo la parsimonia y robustez del modelo.</w:t>
      </w:r>
    </w:p>
    <w:p w14:paraId="2222CF40" w14:textId="37ED23A4" w:rsidR="00F25B56" w:rsidRDefault="007C1D32" w:rsidP="007C1D32">
      <w:pPr>
        <w:outlineLvl w:val="2"/>
        <w:rPr>
          <w:rFonts w:eastAsia="Times New Roman" w:cs="Arial"/>
          <w:szCs w:val="20"/>
          <w:lang w:eastAsia="es-EC"/>
        </w:rPr>
      </w:pPr>
      <w:r w:rsidRPr="007C1D32">
        <w:rPr>
          <w:rFonts w:eastAsia="Times New Roman" w:cs="Arial"/>
          <w:szCs w:val="20"/>
          <w:lang w:eastAsia="es-EC"/>
        </w:rPr>
        <w:t>Asimismo, se aplicó análisis de correlación de Spearman para examinar asociaciones monotónicas entre nivel de digitalización y eficiencia financiera en aquellos casos donde las distribuciones no cumplieron supuestos paramétricos. Esta técnica resultó pertinente para capturar relaciones no lineales sin imponer restricciones estrictas de normalidad. El procesamiento estadístico se efectuó con software especializado en análisis multivariado, garantizando replicabilidad, trazabilidad de procedimientos y consistencia técnica.</w:t>
      </w:r>
    </w:p>
    <w:p w14:paraId="5196F938" w14:textId="77777777" w:rsidR="007C1D32" w:rsidRDefault="00F25B56" w:rsidP="007C1D32">
      <w:pPr>
        <w:spacing w:before="163"/>
        <w:rPr>
          <w:rFonts w:eastAsia="Times New Roman" w:cs="Arial"/>
          <w:b/>
          <w:bCs/>
          <w:szCs w:val="20"/>
          <w:lang w:eastAsia="es-EC"/>
        </w:rPr>
      </w:pPr>
      <w:r>
        <w:rPr>
          <w:rFonts w:eastAsia="Times New Roman" w:cs="Arial"/>
          <w:b/>
          <w:bCs/>
          <w:szCs w:val="20"/>
          <w:lang w:eastAsia="es-EC"/>
        </w:rPr>
        <w:t>Resultados y discusión</w:t>
      </w:r>
    </w:p>
    <w:p w14:paraId="5CA64C5D" w14:textId="2A992E6E" w:rsidR="007C1D32" w:rsidRPr="007C1D32" w:rsidRDefault="007C1D32" w:rsidP="007C1D32">
      <w:pPr>
        <w:rPr>
          <w:rFonts w:eastAsia="Times New Roman" w:cs="Arial"/>
          <w:b/>
          <w:bCs/>
          <w:szCs w:val="20"/>
          <w:lang w:eastAsia="es-EC"/>
        </w:rPr>
      </w:pPr>
      <w:r w:rsidRPr="007C1D32">
        <w:rPr>
          <w:rFonts w:eastAsia="Times New Roman" w:cs="Arial"/>
          <w:szCs w:val="20"/>
          <w:lang w:eastAsia="es-EC"/>
        </w:rPr>
        <w:t>En coherencia con el enfoque de planificación estratégica financiera articulada con procesos de innovación tecnológica, los resultados se estructuraron a partir de indicadores oficiales de adopción digital e inversión sectorial, considerando que la transformación tecnológica condiciona la asignación estratégica de recursos y la sostenibilidad financiera institucional, tal como lo sostienen Apolinario y Guevara (2021) y Ahumada (2022) al vincular innovación con desempeño organizacional y capacidades digitales.</w:t>
      </w:r>
    </w:p>
    <w:p w14:paraId="72CC7847" w14:textId="77777777" w:rsidR="007C1D32" w:rsidRPr="007C1D32" w:rsidRDefault="007C1D32" w:rsidP="007C1D32">
      <w:pPr>
        <w:rPr>
          <w:rFonts w:eastAsia="Times New Roman" w:cs="Arial"/>
          <w:szCs w:val="20"/>
          <w:lang w:eastAsia="es-EC"/>
        </w:rPr>
      </w:pPr>
      <w:r w:rsidRPr="007C1D32">
        <w:rPr>
          <w:rFonts w:eastAsia="Times New Roman" w:cs="Arial"/>
          <w:szCs w:val="20"/>
          <w:lang w:eastAsia="es-EC"/>
        </w:rPr>
        <w:t>En primer término, el análisis descriptivo de los indicadores de acceso y uso de internet evidenció una expansión sostenida en la conectividad nacional, elemento habilitante para la digitalización de procesos financieros y administrativos. La Tabla 1 sintetiza la evolución de estos indicadores en el período 2020, 2022 y 2023.</w:t>
      </w:r>
    </w:p>
    <w:p w14:paraId="66C113A4" w14:textId="28AA52BC" w:rsidR="007C1D32" w:rsidRDefault="007C1D32" w:rsidP="007C1D32">
      <w:pPr>
        <w:rPr>
          <w:rFonts w:eastAsia="Times New Roman" w:cs="Arial"/>
          <w:b/>
          <w:bCs/>
          <w:szCs w:val="20"/>
          <w:lang w:eastAsia="es-EC"/>
        </w:rPr>
      </w:pPr>
      <w:r w:rsidRPr="007C1D32">
        <w:rPr>
          <w:rFonts w:eastAsia="Times New Roman" w:cs="Arial"/>
          <w:b/>
          <w:bCs/>
          <w:szCs w:val="20"/>
          <w:lang w:eastAsia="es-EC"/>
        </w:rPr>
        <w:t>Tabla 1</w:t>
      </w:r>
    </w:p>
    <w:p w14:paraId="1434765A" w14:textId="2B90A2C4" w:rsidR="007C1D32" w:rsidRPr="007C1D32" w:rsidRDefault="007C1D32" w:rsidP="007C1D32">
      <w:pPr>
        <w:rPr>
          <w:rFonts w:eastAsia="Times New Roman" w:cs="Arial"/>
          <w:szCs w:val="20"/>
          <w:lang w:eastAsia="es-EC"/>
        </w:rPr>
      </w:pPr>
      <w:r w:rsidRPr="007C1D32">
        <w:rPr>
          <w:rFonts w:eastAsia="Times New Roman" w:cs="Arial"/>
          <w:szCs w:val="20"/>
          <w:lang w:eastAsia="es-EC"/>
        </w:rPr>
        <w:t>Indicadores de acceso y uso de internet en Ecuador (serie 2020, 2022–2023)</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521"/>
        <w:gridCol w:w="2317"/>
        <w:gridCol w:w="2325"/>
        <w:gridCol w:w="1774"/>
        <w:gridCol w:w="1855"/>
      </w:tblGrid>
      <w:tr w:rsidR="007C1D32" w:rsidRPr="007C1D32" w14:paraId="7865F203" w14:textId="77777777" w:rsidTr="007C1D32">
        <w:trPr>
          <w:tblHeader/>
          <w:tblCellSpacing w:w="15" w:type="dxa"/>
          <w:jc w:val="center"/>
        </w:trPr>
        <w:tc>
          <w:tcPr>
            <w:tcW w:w="0" w:type="auto"/>
            <w:tcBorders>
              <w:top w:val="single" w:sz="4" w:space="0" w:color="auto"/>
            </w:tcBorders>
            <w:vAlign w:val="center"/>
            <w:hideMark/>
          </w:tcPr>
          <w:p w14:paraId="3BAD1A16" w14:textId="77777777" w:rsidR="007C1D32" w:rsidRPr="007C1D32" w:rsidRDefault="007C1D32" w:rsidP="007C1D32">
            <w:pPr>
              <w:spacing w:after="0" w:line="276" w:lineRule="auto"/>
              <w:jc w:val="center"/>
              <w:rPr>
                <w:rFonts w:eastAsia="Times New Roman" w:cs="Arial"/>
                <w:b/>
                <w:bCs/>
                <w:szCs w:val="20"/>
                <w:lang w:eastAsia="es-EC"/>
              </w:rPr>
            </w:pPr>
            <w:r w:rsidRPr="007C1D32">
              <w:rPr>
                <w:rFonts w:eastAsia="Times New Roman" w:cs="Arial"/>
                <w:b/>
                <w:bCs/>
                <w:szCs w:val="20"/>
                <w:lang w:eastAsia="es-EC"/>
              </w:rPr>
              <w:t>Año</w:t>
            </w:r>
          </w:p>
        </w:tc>
        <w:tc>
          <w:tcPr>
            <w:tcW w:w="0" w:type="auto"/>
            <w:tcBorders>
              <w:top w:val="single" w:sz="4" w:space="0" w:color="auto"/>
            </w:tcBorders>
            <w:vAlign w:val="center"/>
            <w:hideMark/>
          </w:tcPr>
          <w:p w14:paraId="7ACE8B17" w14:textId="77777777" w:rsidR="007C1D32" w:rsidRPr="007C1D32" w:rsidRDefault="007C1D32" w:rsidP="007C1D32">
            <w:pPr>
              <w:spacing w:after="0" w:line="276" w:lineRule="auto"/>
              <w:jc w:val="center"/>
              <w:rPr>
                <w:rFonts w:eastAsia="Times New Roman" w:cs="Arial"/>
                <w:b/>
                <w:bCs/>
                <w:szCs w:val="20"/>
                <w:lang w:eastAsia="es-EC"/>
              </w:rPr>
            </w:pPr>
            <w:r w:rsidRPr="007C1D32">
              <w:rPr>
                <w:rFonts w:eastAsia="Times New Roman" w:cs="Arial"/>
                <w:b/>
                <w:bCs/>
                <w:szCs w:val="20"/>
                <w:lang w:eastAsia="es-EC"/>
              </w:rPr>
              <w:t>Hogares con acceso a internet (%)</w:t>
            </w:r>
          </w:p>
        </w:tc>
        <w:tc>
          <w:tcPr>
            <w:tcW w:w="0" w:type="auto"/>
            <w:tcBorders>
              <w:top w:val="single" w:sz="4" w:space="0" w:color="auto"/>
            </w:tcBorders>
            <w:vAlign w:val="center"/>
            <w:hideMark/>
          </w:tcPr>
          <w:p w14:paraId="60BAEE09" w14:textId="77777777" w:rsidR="007C1D32" w:rsidRPr="007C1D32" w:rsidRDefault="007C1D32" w:rsidP="007C1D32">
            <w:pPr>
              <w:spacing w:after="0" w:line="276" w:lineRule="auto"/>
              <w:jc w:val="center"/>
              <w:rPr>
                <w:rFonts w:eastAsia="Times New Roman" w:cs="Arial"/>
                <w:b/>
                <w:bCs/>
                <w:szCs w:val="20"/>
                <w:lang w:eastAsia="es-EC"/>
              </w:rPr>
            </w:pPr>
            <w:r w:rsidRPr="007C1D32">
              <w:rPr>
                <w:rFonts w:eastAsia="Times New Roman" w:cs="Arial"/>
                <w:b/>
                <w:bCs/>
                <w:szCs w:val="20"/>
                <w:lang w:eastAsia="es-EC"/>
              </w:rPr>
              <w:t>Personas que utilizan internet (%)</w:t>
            </w:r>
          </w:p>
        </w:tc>
        <w:tc>
          <w:tcPr>
            <w:tcW w:w="0" w:type="auto"/>
            <w:tcBorders>
              <w:top w:val="single" w:sz="4" w:space="0" w:color="auto"/>
            </w:tcBorders>
            <w:vAlign w:val="center"/>
            <w:hideMark/>
          </w:tcPr>
          <w:p w14:paraId="7E4AB2B2" w14:textId="77777777" w:rsidR="007C1D32" w:rsidRPr="007C1D32" w:rsidRDefault="007C1D32" w:rsidP="007C1D32">
            <w:pPr>
              <w:spacing w:after="0" w:line="276" w:lineRule="auto"/>
              <w:jc w:val="center"/>
              <w:rPr>
                <w:rFonts w:eastAsia="Times New Roman" w:cs="Arial"/>
                <w:b/>
                <w:bCs/>
                <w:szCs w:val="20"/>
                <w:lang w:eastAsia="es-EC"/>
              </w:rPr>
            </w:pPr>
            <w:r w:rsidRPr="007C1D32">
              <w:rPr>
                <w:rFonts w:eastAsia="Times New Roman" w:cs="Arial"/>
                <w:b/>
                <w:bCs/>
                <w:szCs w:val="20"/>
                <w:lang w:eastAsia="es-EC"/>
              </w:rPr>
              <w:t>Variación hogares (p.p.)</w:t>
            </w:r>
          </w:p>
        </w:tc>
        <w:tc>
          <w:tcPr>
            <w:tcW w:w="0" w:type="auto"/>
            <w:tcBorders>
              <w:top w:val="single" w:sz="4" w:space="0" w:color="auto"/>
            </w:tcBorders>
            <w:vAlign w:val="center"/>
            <w:hideMark/>
          </w:tcPr>
          <w:p w14:paraId="12B6584B" w14:textId="77777777" w:rsidR="007C1D32" w:rsidRPr="007C1D32" w:rsidRDefault="007C1D32" w:rsidP="007C1D32">
            <w:pPr>
              <w:spacing w:after="0" w:line="276" w:lineRule="auto"/>
              <w:jc w:val="center"/>
              <w:rPr>
                <w:rFonts w:eastAsia="Times New Roman" w:cs="Arial"/>
                <w:b/>
                <w:bCs/>
                <w:szCs w:val="20"/>
                <w:lang w:eastAsia="es-EC"/>
              </w:rPr>
            </w:pPr>
            <w:r w:rsidRPr="007C1D32">
              <w:rPr>
                <w:rFonts w:eastAsia="Times New Roman" w:cs="Arial"/>
                <w:b/>
                <w:bCs/>
                <w:szCs w:val="20"/>
                <w:lang w:eastAsia="es-EC"/>
              </w:rPr>
              <w:t>Variación personas (p.p.)</w:t>
            </w:r>
          </w:p>
        </w:tc>
      </w:tr>
      <w:tr w:rsidR="007C1D32" w:rsidRPr="007C1D32" w14:paraId="3D952468" w14:textId="77777777" w:rsidTr="007C1D32">
        <w:trPr>
          <w:tblCellSpacing w:w="15" w:type="dxa"/>
          <w:jc w:val="center"/>
        </w:trPr>
        <w:tc>
          <w:tcPr>
            <w:tcW w:w="0" w:type="auto"/>
            <w:tcBorders>
              <w:top w:val="single" w:sz="4" w:space="0" w:color="auto"/>
            </w:tcBorders>
            <w:vAlign w:val="center"/>
            <w:hideMark/>
          </w:tcPr>
          <w:p w14:paraId="7A0242D7"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2020</w:t>
            </w:r>
          </w:p>
        </w:tc>
        <w:tc>
          <w:tcPr>
            <w:tcW w:w="0" w:type="auto"/>
            <w:tcBorders>
              <w:top w:val="single" w:sz="4" w:space="0" w:color="auto"/>
            </w:tcBorders>
            <w:vAlign w:val="center"/>
            <w:hideMark/>
          </w:tcPr>
          <w:p w14:paraId="43CB25B8"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53.2</w:t>
            </w:r>
          </w:p>
        </w:tc>
        <w:tc>
          <w:tcPr>
            <w:tcW w:w="0" w:type="auto"/>
            <w:tcBorders>
              <w:top w:val="single" w:sz="4" w:space="0" w:color="auto"/>
            </w:tcBorders>
            <w:vAlign w:val="center"/>
            <w:hideMark/>
          </w:tcPr>
          <w:p w14:paraId="6372E82C"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70.7</w:t>
            </w:r>
          </w:p>
        </w:tc>
        <w:tc>
          <w:tcPr>
            <w:tcW w:w="0" w:type="auto"/>
            <w:tcBorders>
              <w:top w:val="single" w:sz="4" w:space="0" w:color="auto"/>
            </w:tcBorders>
            <w:vAlign w:val="center"/>
            <w:hideMark/>
          </w:tcPr>
          <w:p w14:paraId="4A41C224" w14:textId="77777777" w:rsidR="007C1D32" w:rsidRPr="007C1D32" w:rsidRDefault="007C1D32" w:rsidP="007C1D32">
            <w:pPr>
              <w:spacing w:after="0" w:line="276" w:lineRule="auto"/>
              <w:jc w:val="center"/>
              <w:rPr>
                <w:rFonts w:eastAsia="Times New Roman" w:cs="Arial"/>
                <w:szCs w:val="20"/>
                <w:lang w:eastAsia="es-EC"/>
              </w:rPr>
            </w:pPr>
            <w:proofErr w:type="spellStart"/>
            <w:r w:rsidRPr="007C1D32">
              <w:rPr>
                <w:rFonts w:eastAsia="Times New Roman" w:cs="Arial"/>
                <w:szCs w:val="20"/>
                <w:lang w:eastAsia="es-EC"/>
              </w:rPr>
              <w:t>n.a</w:t>
            </w:r>
            <w:proofErr w:type="spellEnd"/>
            <w:r w:rsidRPr="007C1D32">
              <w:rPr>
                <w:rFonts w:eastAsia="Times New Roman" w:cs="Arial"/>
                <w:szCs w:val="20"/>
                <w:lang w:eastAsia="es-EC"/>
              </w:rPr>
              <w:t>.</w:t>
            </w:r>
          </w:p>
        </w:tc>
        <w:tc>
          <w:tcPr>
            <w:tcW w:w="0" w:type="auto"/>
            <w:tcBorders>
              <w:top w:val="single" w:sz="4" w:space="0" w:color="auto"/>
            </w:tcBorders>
            <w:vAlign w:val="center"/>
            <w:hideMark/>
          </w:tcPr>
          <w:p w14:paraId="57C1B6F8" w14:textId="77777777" w:rsidR="007C1D32" w:rsidRPr="007C1D32" w:rsidRDefault="007C1D32" w:rsidP="007C1D32">
            <w:pPr>
              <w:spacing w:after="0" w:line="276" w:lineRule="auto"/>
              <w:jc w:val="center"/>
              <w:rPr>
                <w:rFonts w:eastAsia="Times New Roman" w:cs="Arial"/>
                <w:szCs w:val="20"/>
                <w:lang w:eastAsia="es-EC"/>
              </w:rPr>
            </w:pPr>
            <w:proofErr w:type="spellStart"/>
            <w:r w:rsidRPr="007C1D32">
              <w:rPr>
                <w:rFonts w:eastAsia="Times New Roman" w:cs="Arial"/>
                <w:szCs w:val="20"/>
                <w:lang w:eastAsia="es-EC"/>
              </w:rPr>
              <w:t>n.a</w:t>
            </w:r>
            <w:proofErr w:type="spellEnd"/>
            <w:r w:rsidRPr="007C1D32">
              <w:rPr>
                <w:rFonts w:eastAsia="Times New Roman" w:cs="Arial"/>
                <w:szCs w:val="20"/>
                <w:lang w:eastAsia="es-EC"/>
              </w:rPr>
              <w:t>.</w:t>
            </w:r>
          </w:p>
        </w:tc>
      </w:tr>
      <w:tr w:rsidR="007C1D32" w:rsidRPr="007C1D32" w14:paraId="3C13B793" w14:textId="77777777" w:rsidTr="007C1D32">
        <w:trPr>
          <w:tblCellSpacing w:w="15" w:type="dxa"/>
          <w:jc w:val="center"/>
        </w:trPr>
        <w:tc>
          <w:tcPr>
            <w:tcW w:w="0" w:type="auto"/>
            <w:vAlign w:val="center"/>
            <w:hideMark/>
          </w:tcPr>
          <w:p w14:paraId="1DA27B3B"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2022</w:t>
            </w:r>
          </w:p>
        </w:tc>
        <w:tc>
          <w:tcPr>
            <w:tcW w:w="0" w:type="auto"/>
            <w:vAlign w:val="center"/>
            <w:hideMark/>
          </w:tcPr>
          <w:p w14:paraId="7D5E4AEA"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60.4</w:t>
            </w:r>
          </w:p>
        </w:tc>
        <w:tc>
          <w:tcPr>
            <w:tcW w:w="0" w:type="auto"/>
            <w:vAlign w:val="center"/>
            <w:hideMark/>
          </w:tcPr>
          <w:p w14:paraId="256CF3F6"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69.7</w:t>
            </w:r>
          </w:p>
        </w:tc>
        <w:tc>
          <w:tcPr>
            <w:tcW w:w="0" w:type="auto"/>
            <w:vAlign w:val="center"/>
            <w:hideMark/>
          </w:tcPr>
          <w:p w14:paraId="5FD7EF12"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7.2</w:t>
            </w:r>
          </w:p>
        </w:tc>
        <w:tc>
          <w:tcPr>
            <w:tcW w:w="0" w:type="auto"/>
            <w:vAlign w:val="center"/>
            <w:hideMark/>
          </w:tcPr>
          <w:p w14:paraId="79FB630C"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-1.0</w:t>
            </w:r>
          </w:p>
        </w:tc>
      </w:tr>
      <w:tr w:rsidR="007C1D32" w:rsidRPr="007C1D32" w14:paraId="4DE44B80" w14:textId="77777777" w:rsidTr="007C1D32">
        <w:trPr>
          <w:tblCellSpacing w:w="15" w:type="dxa"/>
          <w:jc w:val="center"/>
        </w:trPr>
        <w:tc>
          <w:tcPr>
            <w:tcW w:w="0" w:type="auto"/>
            <w:vAlign w:val="center"/>
            <w:hideMark/>
          </w:tcPr>
          <w:p w14:paraId="5B7651C0"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2023</w:t>
            </w:r>
          </w:p>
        </w:tc>
        <w:tc>
          <w:tcPr>
            <w:tcW w:w="0" w:type="auto"/>
            <w:vAlign w:val="center"/>
            <w:hideMark/>
          </w:tcPr>
          <w:p w14:paraId="652B1A4D"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62.2</w:t>
            </w:r>
          </w:p>
        </w:tc>
        <w:tc>
          <w:tcPr>
            <w:tcW w:w="0" w:type="auto"/>
            <w:vAlign w:val="center"/>
            <w:hideMark/>
          </w:tcPr>
          <w:p w14:paraId="419CD6DC"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72.7</w:t>
            </w:r>
          </w:p>
        </w:tc>
        <w:tc>
          <w:tcPr>
            <w:tcW w:w="0" w:type="auto"/>
            <w:vAlign w:val="center"/>
            <w:hideMark/>
          </w:tcPr>
          <w:p w14:paraId="38EB9C6D"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1.8</w:t>
            </w:r>
          </w:p>
        </w:tc>
        <w:tc>
          <w:tcPr>
            <w:tcW w:w="0" w:type="auto"/>
            <w:vAlign w:val="center"/>
            <w:hideMark/>
          </w:tcPr>
          <w:p w14:paraId="41DCC7A8"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3.0</w:t>
            </w:r>
          </w:p>
        </w:tc>
      </w:tr>
    </w:tbl>
    <w:p w14:paraId="4A3154AD" w14:textId="681957CB" w:rsidR="007C1D32" w:rsidRPr="007C1D32" w:rsidRDefault="007C1D32" w:rsidP="007C1D32">
      <w:pPr>
        <w:jc w:val="left"/>
        <w:rPr>
          <w:rFonts w:eastAsia="Times New Roman" w:cs="Arial"/>
          <w:szCs w:val="20"/>
          <w:lang w:eastAsia="es-EC"/>
        </w:rPr>
      </w:pPr>
      <w:r w:rsidRPr="007C1D32">
        <w:rPr>
          <w:rFonts w:eastAsia="Times New Roman" w:cs="Arial"/>
          <w:i/>
          <w:iCs/>
          <w:szCs w:val="20"/>
          <w:lang w:eastAsia="es-EC"/>
        </w:rPr>
        <w:t>Nota.</w:t>
      </w:r>
      <w:r w:rsidRPr="007C1D32">
        <w:rPr>
          <w:rFonts w:eastAsia="Times New Roman" w:cs="Arial"/>
          <w:szCs w:val="20"/>
          <w:lang w:eastAsia="es-EC"/>
        </w:rPr>
        <w:t xml:space="preserve"> p.p. corresponde a puntos porcentuales.</w:t>
      </w:r>
    </w:p>
    <w:p w14:paraId="618A4F41" w14:textId="77777777" w:rsidR="007C1D32" w:rsidRPr="007C1D32" w:rsidRDefault="007C1D32" w:rsidP="007C1D32">
      <w:pPr>
        <w:rPr>
          <w:rFonts w:eastAsia="Times New Roman" w:cs="Arial"/>
          <w:szCs w:val="20"/>
          <w:lang w:eastAsia="es-EC"/>
        </w:rPr>
      </w:pPr>
      <w:r w:rsidRPr="007C1D32">
        <w:rPr>
          <w:rFonts w:eastAsia="Times New Roman" w:cs="Arial"/>
          <w:szCs w:val="20"/>
          <w:lang w:eastAsia="es-EC"/>
        </w:rPr>
        <w:lastRenderedPageBreak/>
        <w:t>Se observa que el incremento acumulado en acceso a internet entre 2020 y 2023 supera los nueve puntos porcentuales, lo que implica una ampliación estructural de la base digital del país. Este comportamiento es consistente con lo planteado por Barrios (2021), quien señala que la expansión tecnológica incide directamente en la productividad organizacional, siempre que exista una adecuada planificación estratégica de los recursos financieros. De manera complementaria, la recuperación del indicador de uso en 2023 sugiere mayor intensidad digital, lo cual refuerza la necesidad de integrar inversiones tecnológicas dentro de esquemas financieros formales y sostenibles, tal como lo argumentan Landa y Silva (2021) en el análisis de decisiones financieras bajo incertidumbre tecnológica.</w:t>
      </w:r>
    </w:p>
    <w:p w14:paraId="120F6BB9" w14:textId="77777777" w:rsidR="007C1D32" w:rsidRPr="007C1D32" w:rsidRDefault="007C1D32" w:rsidP="007C1D32">
      <w:pPr>
        <w:rPr>
          <w:rFonts w:eastAsia="Times New Roman" w:cs="Arial"/>
          <w:szCs w:val="20"/>
          <w:lang w:eastAsia="es-EC"/>
        </w:rPr>
      </w:pPr>
      <w:r w:rsidRPr="007C1D32">
        <w:rPr>
          <w:rFonts w:eastAsia="Times New Roman" w:cs="Arial"/>
          <w:szCs w:val="20"/>
          <w:lang w:eastAsia="es-EC"/>
        </w:rPr>
        <w:t>La correlación de Spearman entre acceso en hogares y uso por personas fue positiva (ρ = 0.50), lo que indica una relación monotónica moderada entre ambas variables. Aunque el tamaño de la serie limita la inferencia robusta, la dirección del coeficiente es coherente con los planteamientos de Gómez y Giraldo (2023), quienes vinculan la madurez digital con mayores niveles de agilidad organizacional y eficiencia financiera.</w:t>
      </w:r>
    </w:p>
    <w:p w14:paraId="74A45C64" w14:textId="77777777" w:rsidR="007C1D32" w:rsidRPr="007C1D32" w:rsidRDefault="007C1D32" w:rsidP="007C1D32">
      <w:pPr>
        <w:rPr>
          <w:rFonts w:eastAsia="Times New Roman" w:cs="Arial"/>
          <w:szCs w:val="20"/>
          <w:lang w:eastAsia="es-EC"/>
        </w:rPr>
      </w:pPr>
      <w:r w:rsidRPr="007C1D32">
        <w:rPr>
          <w:rFonts w:eastAsia="Times New Roman" w:cs="Arial"/>
          <w:szCs w:val="20"/>
          <w:lang w:eastAsia="es-EC"/>
        </w:rPr>
        <w:t>En una segunda dimensión analítica, se evaluó la estructura de inversión sectorial en conectividad como proxy de capacidad de despliegue tecnológico. La Tabla 2 presenta la composición de la inversión pública y privada, información relevante para la planificación estratégica financiera de proyectos de innovación.</w:t>
      </w:r>
    </w:p>
    <w:p w14:paraId="32580A7C" w14:textId="77777777" w:rsidR="007C1D32" w:rsidRDefault="007C1D32" w:rsidP="007C1D32">
      <w:pPr>
        <w:rPr>
          <w:rFonts w:eastAsia="Times New Roman" w:cs="Arial"/>
          <w:b/>
          <w:bCs/>
          <w:szCs w:val="20"/>
          <w:lang w:eastAsia="es-EC"/>
        </w:rPr>
      </w:pPr>
      <w:r w:rsidRPr="007C1D32">
        <w:rPr>
          <w:rFonts w:eastAsia="Times New Roman" w:cs="Arial"/>
          <w:b/>
          <w:bCs/>
          <w:szCs w:val="20"/>
          <w:lang w:eastAsia="es-EC"/>
        </w:rPr>
        <w:t>Tabla 2</w:t>
      </w:r>
    </w:p>
    <w:p w14:paraId="60794D68" w14:textId="42B4EF95" w:rsidR="007C1D32" w:rsidRPr="007C1D32" w:rsidRDefault="007C1D32" w:rsidP="007C1D32">
      <w:pPr>
        <w:rPr>
          <w:rFonts w:eastAsia="Times New Roman" w:cs="Arial"/>
          <w:szCs w:val="20"/>
          <w:lang w:eastAsia="es-EC"/>
        </w:rPr>
      </w:pPr>
      <w:r w:rsidRPr="007C1D32">
        <w:rPr>
          <w:rFonts w:eastAsia="Times New Roman" w:cs="Arial"/>
          <w:szCs w:val="20"/>
          <w:lang w:eastAsia="es-EC"/>
        </w:rPr>
        <w:t>Componentes de inversión sectorial vinculada a conectividad y despliegue digital</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85"/>
        <w:gridCol w:w="2217"/>
        <w:gridCol w:w="2138"/>
        <w:gridCol w:w="1331"/>
      </w:tblGrid>
      <w:tr w:rsidR="007C1D32" w:rsidRPr="007C1D32" w14:paraId="10FEB606" w14:textId="77777777" w:rsidTr="007C1D32">
        <w:trPr>
          <w:tblHeader/>
          <w:tblCellSpacing w:w="15" w:type="dxa"/>
          <w:jc w:val="center"/>
        </w:trPr>
        <w:tc>
          <w:tcPr>
            <w:tcW w:w="3040" w:type="dxa"/>
            <w:tcBorders>
              <w:top w:val="single" w:sz="4" w:space="0" w:color="auto"/>
            </w:tcBorders>
            <w:vAlign w:val="center"/>
            <w:hideMark/>
          </w:tcPr>
          <w:p w14:paraId="289B69F9" w14:textId="77777777" w:rsidR="007C1D32" w:rsidRPr="007C1D32" w:rsidRDefault="007C1D32" w:rsidP="007C1D32">
            <w:pPr>
              <w:spacing w:after="0" w:line="276" w:lineRule="auto"/>
              <w:jc w:val="center"/>
              <w:rPr>
                <w:rFonts w:eastAsia="Times New Roman" w:cs="Arial"/>
                <w:b/>
                <w:bCs/>
                <w:szCs w:val="20"/>
                <w:lang w:eastAsia="es-EC"/>
              </w:rPr>
            </w:pPr>
            <w:r w:rsidRPr="007C1D32">
              <w:rPr>
                <w:rFonts w:eastAsia="Times New Roman" w:cs="Arial"/>
                <w:b/>
                <w:bCs/>
                <w:szCs w:val="20"/>
                <w:lang w:eastAsia="es-EC"/>
              </w:rPr>
              <w:t>Periodo reportado</w:t>
            </w:r>
          </w:p>
        </w:tc>
        <w:tc>
          <w:tcPr>
            <w:tcW w:w="0" w:type="auto"/>
            <w:tcBorders>
              <w:top w:val="single" w:sz="4" w:space="0" w:color="auto"/>
            </w:tcBorders>
            <w:vAlign w:val="center"/>
            <w:hideMark/>
          </w:tcPr>
          <w:p w14:paraId="6D3D2B1A" w14:textId="77777777" w:rsidR="007C1D32" w:rsidRPr="007C1D32" w:rsidRDefault="007C1D32" w:rsidP="007C1D32">
            <w:pPr>
              <w:spacing w:after="0" w:line="276" w:lineRule="auto"/>
              <w:jc w:val="center"/>
              <w:rPr>
                <w:rFonts w:eastAsia="Times New Roman" w:cs="Arial"/>
                <w:b/>
                <w:bCs/>
                <w:szCs w:val="20"/>
                <w:lang w:eastAsia="es-EC"/>
              </w:rPr>
            </w:pPr>
            <w:r w:rsidRPr="007C1D32">
              <w:rPr>
                <w:rFonts w:eastAsia="Times New Roman" w:cs="Arial"/>
                <w:b/>
                <w:bCs/>
                <w:szCs w:val="20"/>
                <w:lang w:eastAsia="es-EC"/>
              </w:rPr>
              <w:t>Componente</w:t>
            </w:r>
          </w:p>
        </w:tc>
        <w:tc>
          <w:tcPr>
            <w:tcW w:w="0" w:type="auto"/>
            <w:tcBorders>
              <w:top w:val="single" w:sz="4" w:space="0" w:color="auto"/>
            </w:tcBorders>
            <w:vAlign w:val="center"/>
            <w:hideMark/>
          </w:tcPr>
          <w:p w14:paraId="5EAB86BE" w14:textId="77777777" w:rsidR="007C1D32" w:rsidRPr="007C1D32" w:rsidRDefault="007C1D32" w:rsidP="007C1D32">
            <w:pPr>
              <w:spacing w:after="0" w:line="276" w:lineRule="auto"/>
              <w:jc w:val="center"/>
              <w:rPr>
                <w:rFonts w:eastAsia="Times New Roman" w:cs="Arial"/>
                <w:b/>
                <w:bCs/>
                <w:szCs w:val="20"/>
                <w:lang w:eastAsia="es-EC"/>
              </w:rPr>
            </w:pPr>
            <w:r w:rsidRPr="007C1D32">
              <w:rPr>
                <w:rFonts w:eastAsia="Times New Roman" w:cs="Arial"/>
                <w:b/>
                <w:bCs/>
                <w:szCs w:val="20"/>
                <w:lang w:eastAsia="es-EC"/>
              </w:rPr>
              <w:t>Monto (millones USD)</w:t>
            </w:r>
          </w:p>
        </w:tc>
        <w:tc>
          <w:tcPr>
            <w:tcW w:w="0" w:type="auto"/>
            <w:tcBorders>
              <w:top w:val="single" w:sz="4" w:space="0" w:color="auto"/>
            </w:tcBorders>
            <w:vAlign w:val="center"/>
            <w:hideMark/>
          </w:tcPr>
          <w:p w14:paraId="755D226D" w14:textId="77777777" w:rsidR="007C1D32" w:rsidRPr="007C1D32" w:rsidRDefault="007C1D32" w:rsidP="007C1D32">
            <w:pPr>
              <w:spacing w:after="0" w:line="276" w:lineRule="auto"/>
              <w:jc w:val="center"/>
              <w:rPr>
                <w:rFonts w:eastAsia="Times New Roman" w:cs="Arial"/>
                <w:b/>
                <w:bCs/>
                <w:szCs w:val="20"/>
                <w:lang w:eastAsia="es-EC"/>
              </w:rPr>
            </w:pPr>
            <w:r w:rsidRPr="007C1D32">
              <w:rPr>
                <w:rFonts w:eastAsia="Times New Roman" w:cs="Arial"/>
                <w:b/>
                <w:bCs/>
                <w:szCs w:val="20"/>
                <w:lang w:eastAsia="es-EC"/>
              </w:rPr>
              <w:t>Participación</w:t>
            </w:r>
          </w:p>
        </w:tc>
      </w:tr>
      <w:tr w:rsidR="007C1D32" w:rsidRPr="007C1D32" w14:paraId="32FEA1C3" w14:textId="77777777" w:rsidTr="007C1D32">
        <w:trPr>
          <w:tblCellSpacing w:w="15" w:type="dxa"/>
          <w:jc w:val="center"/>
        </w:trPr>
        <w:tc>
          <w:tcPr>
            <w:tcW w:w="3040" w:type="dxa"/>
            <w:tcBorders>
              <w:top w:val="single" w:sz="4" w:space="0" w:color="auto"/>
            </w:tcBorders>
            <w:vAlign w:val="center"/>
            <w:hideMark/>
          </w:tcPr>
          <w:p w14:paraId="1699B290"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2022</w:t>
            </w:r>
          </w:p>
        </w:tc>
        <w:tc>
          <w:tcPr>
            <w:tcW w:w="0" w:type="auto"/>
            <w:tcBorders>
              <w:top w:val="single" w:sz="4" w:space="0" w:color="auto"/>
            </w:tcBorders>
            <w:vAlign w:val="center"/>
            <w:hideMark/>
          </w:tcPr>
          <w:p w14:paraId="21640280"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Inversión pública</w:t>
            </w:r>
          </w:p>
        </w:tc>
        <w:tc>
          <w:tcPr>
            <w:tcW w:w="0" w:type="auto"/>
            <w:tcBorders>
              <w:top w:val="single" w:sz="4" w:space="0" w:color="auto"/>
            </w:tcBorders>
            <w:vAlign w:val="center"/>
            <w:hideMark/>
          </w:tcPr>
          <w:p w14:paraId="14C0A738"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106.12</w:t>
            </w:r>
          </w:p>
        </w:tc>
        <w:tc>
          <w:tcPr>
            <w:tcW w:w="0" w:type="auto"/>
            <w:tcBorders>
              <w:top w:val="single" w:sz="4" w:space="0" w:color="auto"/>
            </w:tcBorders>
            <w:vAlign w:val="center"/>
            <w:hideMark/>
          </w:tcPr>
          <w:p w14:paraId="3DDBC418"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14.47%</w:t>
            </w:r>
          </w:p>
        </w:tc>
      </w:tr>
      <w:tr w:rsidR="007C1D32" w:rsidRPr="007C1D32" w14:paraId="6E54DB44" w14:textId="77777777" w:rsidTr="007C1D32">
        <w:trPr>
          <w:tblCellSpacing w:w="15" w:type="dxa"/>
          <w:jc w:val="center"/>
        </w:trPr>
        <w:tc>
          <w:tcPr>
            <w:tcW w:w="3040" w:type="dxa"/>
            <w:vAlign w:val="center"/>
            <w:hideMark/>
          </w:tcPr>
          <w:p w14:paraId="6D9095E5"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2022</w:t>
            </w:r>
          </w:p>
        </w:tc>
        <w:tc>
          <w:tcPr>
            <w:tcW w:w="0" w:type="auto"/>
            <w:vAlign w:val="center"/>
            <w:hideMark/>
          </w:tcPr>
          <w:p w14:paraId="5ED36D26"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Inversión privada</w:t>
            </w:r>
          </w:p>
        </w:tc>
        <w:tc>
          <w:tcPr>
            <w:tcW w:w="0" w:type="auto"/>
            <w:vAlign w:val="center"/>
            <w:hideMark/>
          </w:tcPr>
          <w:p w14:paraId="700F277D"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627.48</w:t>
            </w:r>
          </w:p>
        </w:tc>
        <w:tc>
          <w:tcPr>
            <w:tcW w:w="0" w:type="auto"/>
            <w:vAlign w:val="center"/>
            <w:hideMark/>
          </w:tcPr>
          <w:p w14:paraId="106ADAB4"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85.53%</w:t>
            </w:r>
          </w:p>
        </w:tc>
      </w:tr>
      <w:tr w:rsidR="007C1D32" w:rsidRPr="007C1D32" w14:paraId="21E9656D" w14:textId="77777777" w:rsidTr="007C1D32">
        <w:trPr>
          <w:tblCellSpacing w:w="15" w:type="dxa"/>
          <w:jc w:val="center"/>
        </w:trPr>
        <w:tc>
          <w:tcPr>
            <w:tcW w:w="3040" w:type="dxa"/>
            <w:vAlign w:val="center"/>
            <w:hideMark/>
          </w:tcPr>
          <w:p w14:paraId="486CC287"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2022</w:t>
            </w:r>
          </w:p>
        </w:tc>
        <w:tc>
          <w:tcPr>
            <w:tcW w:w="0" w:type="auto"/>
            <w:vAlign w:val="center"/>
            <w:hideMark/>
          </w:tcPr>
          <w:p w14:paraId="0F6F9494" w14:textId="17FAE06A"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Total, inversión sectorial</w:t>
            </w:r>
          </w:p>
        </w:tc>
        <w:tc>
          <w:tcPr>
            <w:tcW w:w="0" w:type="auto"/>
            <w:vAlign w:val="center"/>
            <w:hideMark/>
          </w:tcPr>
          <w:p w14:paraId="46A3BBF2"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733.60</w:t>
            </w:r>
          </w:p>
        </w:tc>
        <w:tc>
          <w:tcPr>
            <w:tcW w:w="0" w:type="auto"/>
            <w:vAlign w:val="center"/>
            <w:hideMark/>
          </w:tcPr>
          <w:p w14:paraId="126E0603"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100%</w:t>
            </w:r>
          </w:p>
        </w:tc>
      </w:tr>
      <w:tr w:rsidR="007C1D32" w:rsidRPr="007C1D32" w14:paraId="09E88932" w14:textId="77777777" w:rsidTr="007C1D32">
        <w:trPr>
          <w:tblCellSpacing w:w="15" w:type="dxa"/>
          <w:jc w:val="center"/>
        </w:trPr>
        <w:tc>
          <w:tcPr>
            <w:tcW w:w="3040" w:type="dxa"/>
            <w:vAlign w:val="center"/>
            <w:hideMark/>
          </w:tcPr>
          <w:p w14:paraId="11E4D341"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2023 (octubre)</w:t>
            </w:r>
          </w:p>
        </w:tc>
        <w:tc>
          <w:tcPr>
            <w:tcW w:w="0" w:type="auto"/>
            <w:vAlign w:val="center"/>
            <w:hideMark/>
          </w:tcPr>
          <w:p w14:paraId="12891120"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Repotenciación 4G</w:t>
            </w:r>
          </w:p>
        </w:tc>
        <w:tc>
          <w:tcPr>
            <w:tcW w:w="0" w:type="auto"/>
            <w:vAlign w:val="center"/>
            <w:hideMark/>
          </w:tcPr>
          <w:p w14:paraId="2F62A80E"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246.00</w:t>
            </w:r>
          </w:p>
        </w:tc>
        <w:tc>
          <w:tcPr>
            <w:tcW w:w="0" w:type="auto"/>
            <w:vAlign w:val="center"/>
            <w:hideMark/>
          </w:tcPr>
          <w:p w14:paraId="76D5FA19" w14:textId="77777777" w:rsidR="007C1D32" w:rsidRPr="007C1D32" w:rsidRDefault="007C1D32" w:rsidP="007C1D32">
            <w:pPr>
              <w:spacing w:after="0" w:line="276" w:lineRule="auto"/>
              <w:jc w:val="center"/>
              <w:rPr>
                <w:rFonts w:eastAsia="Times New Roman" w:cs="Arial"/>
                <w:szCs w:val="20"/>
                <w:lang w:eastAsia="es-EC"/>
              </w:rPr>
            </w:pPr>
            <w:proofErr w:type="spellStart"/>
            <w:r w:rsidRPr="007C1D32">
              <w:rPr>
                <w:rFonts w:eastAsia="Times New Roman" w:cs="Arial"/>
                <w:szCs w:val="20"/>
                <w:lang w:eastAsia="es-EC"/>
              </w:rPr>
              <w:t>n.a</w:t>
            </w:r>
            <w:proofErr w:type="spellEnd"/>
            <w:r w:rsidRPr="007C1D32">
              <w:rPr>
                <w:rFonts w:eastAsia="Times New Roman" w:cs="Arial"/>
                <w:szCs w:val="20"/>
                <w:lang w:eastAsia="es-EC"/>
              </w:rPr>
              <w:t>.</w:t>
            </w:r>
          </w:p>
        </w:tc>
      </w:tr>
      <w:tr w:rsidR="007C1D32" w:rsidRPr="007C1D32" w14:paraId="1876AF10" w14:textId="77777777" w:rsidTr="007C1D32">
        <w:trPr>
          <w:tblCellSpacing w:w="15" w:type="dxa"/>
          <w:jc w:val="center"/>
        </w:trPr>
        <w:tc>
          <w:tcPr>
            <w:tcW w:w="3040" w:type="dxa"/>
            <w:vAlign w:val="center"/>
            <w:hideMark/>
          </w:tcPr>
          <w:p w14:paraId="38E3FD3C"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2023 (octubre)</w:t>
            </w:r>
          </w:p>
        </w:tc>
        <w:tc>
          <w:tcPr>
            <w:tcW w:w="0" w:type="auto"/>
            <w:vAlign w:val="center"/>
            <w:hideMark/>
          </w:tcPr>
          <w:p w14:paraId="1D76B7DF" w14:textId="77777777" w:rsidR="007C1D32" w:rsidRPr="007C1D32" w:rsidRDefault="007C1D32" w:rsidP="007C1D32">
            <w:pPr>
              <w:spacing w:after="0" w:line="276" w:lineRule="auto"/>
              <w:jc w:val="center"/>
              <w:rPr>
                <w:rFonts w:eastAsia="Times New Roman" w:cs="Arial"/>
                <w:szCs w:val="20"/>
                <w:lang w:eastAsia="es-EC"/>
              </w:rPr>
            </w:pPr>
            <w:proofErr w:type="spellStart"/>
            <w:r w:rsidRPr="007C1D32">
              <w:rPr>
                <w:rFonts w:eastAsia="Times New Roman" w:cs="Arial"/>
                <w:szCs w:val="20"/>
                <w:lang w:eastAsia="es-EC"/>
              </w:rPr>
              <w:t>Radiobases</w:t>
            </w:r>
            <w:proofErr w:type="spellEnd"/>
          </w:p>
        </w:tc>
        <w:tc>
          <w:tcPr>
            <w:tcW w:w="0" w:type="auto"/>
            <w:vAlign w:val="center"/>
            <w:hideMark/>
          </w:tcPr>
          <w:p w14:paraId="6E78AE04"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14.00</w:t>
            </w:r>
          </w:p>
        </w:tc>
        <w:tc>
          <w:tcPr>
            <w:tcW w:w="0" w:type="auto"/>
            <w:vAlign w:val="center"/>
            <w:hideMark/>
          </w:tcPr>
          <w:p w14:paraId="26B8BEA6" w14:textId="77777777" w:rsidR="007C1D32" w:rsidRPr="007C1D32" w:rsidRDefault="007C1D32" w:rsidP="007C1D32">
            <w:pPr>
              <w:spacing w:after="0" w:line="276" w:lineRule="auto"/>
              <w:jc w:val="center"/>
              <w:rPr>
                <w:rFonts w:eastAsia="Times New Roman" w:cs="Arial"/>
                <w:szCs w:val="20"/>
                <w:lang w:eastAsia="es-EC"/>
              </w:rPr>
            </w:pPr>
            <w:proofErr w:type="spellStart"/>
            <w:r w:rsidRPr="007C1D32">
              <w:rPr>
                <w:rFonts w:eastAsia="Times New Roman" w:cs="Arial"/>
                <w:szCs w:val="20"/>
                <w:lang w:eastAsia="es-EC"/>
              </w:rPr>
              <w:t>n.a</w:t>
            </w:r>
            <w:proofErr w:type="spellEnd"/>
            <w:r w:rsidRPr="007C1D32">
              <w:rPr>
                <w:rFonts w:eastAsia="Times New Roman" w:cs="Arial"/>
                <w:szCs w:val="20"/>
                <w:lang w:eastAsia="es-EC"/>
              </w:rPr>
              <w:t>.</w:t>
            </w:r>
          </w:p>
        </w:tc>
      </w:tr>
      <w:tr w:rsidR="007C1D32" w:rsidRPr="007C1D32" w14:paraId="3B796C97" w14:textId="77777777" w:rsidTr="007C1D32">
        <w:trPr>
          <w:tblCellSpacing w:w="15" w:type="dxa"/>
          <w:jc w:val="center"/>
        </w:trPr>
        <w:tc>
          <w:tcPr>
            <w:tcW w:w="3040" w:type="dxa"/>
            <w:tcBorders>
              <w:bottom w:val="single" w:sz="4" w:space="0" w:color="auto"/>
            </w:tcBorders>
            <w:vAlign w:val="center"/>
            <w:hideMark/>
          </w:tcPr>
          <w:p w14:paraId="1C26BA9A"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2023 (octubre)</w:t>
            </w:r>
          </w:p>
        </w:tc>
        <w:tc>
          <w:tcPr>
            <w:tcW w:w="0" w:type="auto"/>
            <w:tcBorders>
              <w:bottom w:val="single" w:sz="4" w:space="0" w:color="auto"/>
            </w:tcBorders>
            <w:vAlign w:val="center"/>
            <w:hideMark/>
          </w:tcPr>
          <w:p w14:paraId="14D16BDB"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 xml:space="preserve">Puntos </w:t>
            </w:r>
            <w:proofErr w:type="spellStart"/>
            <w:r w:rsidRPr="007C1D32">
              <w:rPr>
                <w:rFonts w:eastAsia="Times New Roman" w:cs="Arial"/>
                <w:szCs w:val="20"/>
                <w:lang w:eastAsia="es-EC"/>
              </w:rPr>
              <w:t>Wi</w:t>
            </w:r>
            <w:proofErr w:type="spellEnd"/>
            <w:r w:rsidRPr="007C1D32">
              <w:rPr>
                <w:rFonts w:eastAsia="Times New Roman" w:cs="Arial"/>
                <w:szCs w:val="20"/>
                <w:lang w:eastAsia="es-EC"/>
              </w:rPr>
              <w:t>-Fi</w:t>
            </w:r>
          </w:p>
        </w:tc>
        <w:tc>
          <w:tcPr>
            <w:tcW w:w="0" w:type="auto"/>
            <w:tcBorders>
              <w:bottom w:val="single" w:sz="4" w:space="0" w:color="auto"/>
            </w:tcBorders>
            <w:vAlign w:val="center"/>
            <w:hideMark/>
          </w:tcPr>
          <w:p w14:paraId="41237618" w14:textId="77777777" w:rsidR="007C1D32" w:rsidRPr="007C1D32" w:rsidRDefault="007C1D32" w:rsidP="007C1D32">
            <w:pPr>
              <w:spacing w:after="0" w:line="276" w:lineRule="auto"/>
              <w:jc w:val="center"/>
              <w:rPr>
                <w:rFonts w:eastAsia="Times New Roman" w:cs="Arial"/>
                <w:szCs w:val="20"/>
                <w:lang w:eastAsia="es-EC"/>
              </w:rPr>
            </w:pPr>
            <w:r w:rsidRPr="007C1D32">
              <w:rPr>
                <w:rFonts w:eastAsia="Times New Roman" w:cs="Arial"/>
                <w:szCs w:val="20"/>
                <w:lang w:eastAsia="es-EC"/>
              </w:rPr>
              <w:t>4.64</w:t>
            </w:r>
          </w:p>
        </w:tc>
        <w:tc>
          <w:tcPr>
            <w:tcW w:w="0" w:type="auto"/>
            <w:tcBorders>
              <w:bottom w:val="single" w:sz="4" w:space="0" w:color="auto"/>
            </w:tcBorders>
            <w:vAlign w:val="center"/>
            <w:hideMark/>
          </w:tcPr>
          <w:p w14:paraId="08763FC7" w14:textId="77777777" w:rsidR="007C1D32" w:rsidRPr="007C1D32" w:rsidRDefault="007C1D32" w:rsidP="007C1D32">
            <w:pPr>
              <w:spacing w:after="0" w:line="276" w:lineRule="auto"/>
              <w:jc w:val="center"/>
              <w:rPr>
                <w:rFonts w:eastAsia="Times New Roman" w:cs="Arial"/>
                <w:szCs w:val="20"/>
                <w:lang w:eastAsia="es-EC"/>
              </w:rPr>
            </w:pPr>
            <w:proofErr w:type="spellStart"/>
            <w:r w:rsidRPr="007C1D32">
              <w:rPr>
                <w:rFonts w:eastAsia="Times New Roman" w:cs="Arial"/>
                <w:szCs w:val="20"/>
                <w:lang w:eastAsia="es-EC"/>
              </w:rPr>
              <w:t>n.a</w:t>
            </w:r>
            <w:proofErr w:type="spellEnd"/>
            <w:r w:rsidRPr="007C1D32">
              <w:rPr>
                <w:rFonts w:eastAsia="Times New Roman" w:cs="Arial"/>
                <w:szCs w:val="20"/>
                <w:lang w:eastAsia="es-EC"/>
              </w:rPr>
              <w:t>.</w:t>
            </w:r>
          </w:p>
        </w:tc>
      </w:tr>
    </w:tbl>
    <w:p w14:paraId="3C47B8A5" w14:textId="150EB7EE" w:rsidR="007C1D32" w:rsidRPr="007C1D32" w:rsidRDefault="007C1D32" w:rsidP="007C1D32">
      <w:pPr>
        <w:jc w:val="left"/>
        <w:rPr>
          <w:rFonts w:eastAsia="Times New Roman" w:cs="Arial"/>
          <w:szCs w:val="20"/>
          <w:lang w:eastAsia="es-EC"/>
        </w:rPr>
      </w:pPr>
      <w:r w:rsidRPr="007C1D32">
        <w:rPr>
          <w:rFonts w:eastAsia="Times New Roman" w:cs="Arial"/>
          <w:i/>
          <w:iCs/>
          <w:szCs w:val="20"/>
          <w:lang w:eastAsia="es-EC"/>
        </w:rPr>
        <w:t>Nota.</w:t>
      </w:r>
      <w:r w:rsidRPr="007C1D32">
        <w:rPr>
          <w:rFonts w:eastAsia="Times New Roman" w:cs="Arial"/>
          <w:szCs w:val="20"/>
          <w:lang w:eastAsia="es-EC"/>
        </w:rPr>
        <w:t xml:space="preserve"> La desagregación 2023 corresponde a corte mensual.</w:t>
      </w:r>
    </w:p>
    <w:p w14:paraId="268358FA" w14:textId="77777777" w:rsidR="007C1D32" w:rsidRPr="007C1D32" w:rsidRDefault="007C1D32" w:rsidP="007C1D32">
      <w:pPr>
        <w:rPr>
          <w:rFonts w:eastAsia="Times New Roman" w:cs="Arial"/>
          <w:szCs w:val="20"/>
          <w:lang w:eastAsia="es-EC"/>
        </w:rPr>
      </w:pPr>
      <w:r w:rsidRPr="007C1D32">
        <w:rPr>
          <w:rFonts w:eastAsia="Times New Roman" w:cs="Arial"/>
          <w:szCs w:val="20"/>
          <w:lang w:eastAsia="es-EC"/>
        </w:rPr>
        <w:t>Se evidencia un predominio de inversión privada en 2022, superando el 85 % del total sectorial. Este resultado respalda la tesis de Martínez et al. (2022), quienes sostienen que la estructura de financiamiento digital en América Latina depende en gran medida del dinamismo del sector privado, lo que obliga a los entes públicos y organizaciones a diseñar estrategias financieras coordinadas. Asimismo, la magnitud de inversión en repotenciación 4G en 2023 confirma la prioridad otorgada a infraestructura de conectividad, elemento esencial para automatización, analítica avanzada y digitalización de flujos financieros, en concordancia con lo señalado por Ahumada (2022) respecto a la centralidad de competencias digitales en la transformación productiva.</w:t>
      </w:r>
    </w:p>
    <w:p w14:paraId="17F929CB" w14:textId="77777777" w:rsidR="007C1D32" w:rsidRPr="007C1D32" w:rsidRDefault="007C1D32" w:rsidP="007C1D32">
      <w:pPr>
        <w:rPr>
          <w:rFonts w:eastAsia="Times New Roman" w:cs="Arial"/>
          <w:szCs w:val="20"/>
          <w:lang w:eastAsia="es-EC"/>
        </w:rPr>
      </w:pPr>
      <w:r w:rsidRPr="007C1D32">
        <w:rPr>
          <w:rFonts w:eastAsia="Times New Roman" w:cs="Arial"/>
          <w:szCs w:val="20"/>
          <w:lang w:eastAsia="es-EC"/>
        </w:rPr>
        <w:t xml:space="preserve">En cuanto a los métodos avanzados aplicados, el modelo de regresión Ridge mostró un coeficiente positivo (β ≈ 0.116) entre acceso digital y uso efectivo, reduciendo la variabilidad de los estimadores ante posible colinealidad, lo cual refuerza la estabilidad interpretativa del modelo. Esta aproximación </w:t>
      </w:r>
      <w:r w:rsidRPr="007C1D32">
        <w:rPr>
          <w:rFonts w:eastAsia="Times New Roman" w:cs="Arial"/>
          <w:szCs w:val="20"/>
          <w:lang w:eastAsia="es-EC"/>
        </w:rPr>
        <w:lastRenderedPageBreak/>
        <w:t>es consistente con lo planteado por Molina (2023), quien destaca la utilidad de técnicas regularizadas para mejorar la precisión predictiva en contextos financieros con múltiples variables correlacionadas.</w:t>
      </w:r>
    </w:p>
    <w:p w14:paraId="4CC50259" w14:textId="77777777" w:rsidR="007C1D32" w:rsidRPr="007C1D32" w:rsidRDefault="007C1D32" w:rsidP="007C1D32">
      <w:pPr>
        <w:rPr>
          <w:rFonts w:eastAsia="Times New Roman" w:cs="Arial"/>
          <w:szCs w:val="20"/>
          <w:lang w:eastAsia="es-EC"/>
        </w:rPr>
      </w:pPr>
      <w:r w:rsidRPr="007C1D32">
        <w:rPr>
          <w:rFonts w:eastAsia="Times New Roman" w:cs="Arial"/>
          <w:szCs w:val="20"/>
          <w:lang w:eastAsia="es-EC"/>
        </w:rPr>
        <w:t>Las figuras complementan la lectura estructural de los resultados.</w:t>
      </w:r>
    </w:p>
    <w:p w14:paraId="343AC5E2" w14:textId="77777777" w:rsidR="007C1D32" w:rsidRDefault="007C1D32" w:rsidP="007C1D32">
      <w:pPr>
        <w:rPr>
          <w:rFonts w:cs="Arial"/>
          <w:b/>
          <w:szCs w:val="20"/>
        </w:rPr>
      </w:pPr>
      <w:r w:rsidRPr="007C1D32">
        <w:rPr>
          <w:rFonts w:cs="Arial"/>
          <w:b/>
          <w:szCs w:val="20"/>
        </w:rPr>
        <w:t>Figura 1</w:t>
      </w:r>
    </w:p>
    <w:p w14:paraId="3CF7F39D" w14:textId="6A4355AD" w:rsidR="007C1D32" w:rsidRDefault="007C1D32" w:rsidP="007C1D32">
      <w:pPr>
        <w:rPr>
          <w:rFonts w:cs="Arial"/>
          <w:bCs/>
          <w:szCs w:val="20"/>
        </w:rPr>
      </w:pPr>
      <w:r w:rsidRPr="007C1D32">
        <w:rPr>
          <w:rFonts w:cs="Arial"/>
          <w:bCs/>
          <w:szCs w:val="20"/>
        </w:rPr>
        <w:t xml:space="preserve"> Evolución de acceso y uso de internet en Ecuador (2020, 2022–2023)</w:t>
      </w:r>
    </w:p>
    <w:p w14:paraId="60C445A9" w14:textId="34A5C3CA" w:rsidR="007C1D32" w:rsidRDefault="007C1D32" w:rsidP="007C1D32">
      <w:pPr>
        <w:rPr>
          <w:rFonts w:cs="Arial"/>
          <w:bCs/>
          <w:szCs w:val="20"/>
        </w:rPr>
      </w:pPr>
      <w:r w:rsidRPr="007C1D32">
        <w:rPr>
          <w:rFonts w:eastAsia="Times New Roman" w:cs="Arial"/>
          <w:noProof/>
          <w:szCs w:val="20"/>
          <w:lang w:eastAsia="es-EC"/>
        </w:rPr>
        <w:drawing>
          <wp:anchor distT="0" distB="0" distL="114300" distR="114300" simplePos="0" relativeHeight="251658240" behindDoc="0" locked="0" layoutInCell="1" allowOverlap="1" wp14:anchorId="3A2E2701" wp14:editId="49B3CF43">
            <wp:simplePos x="0" y="0"/>
            <wp:positionH relativeFrom="margin">
              <wp:align>center</wp:align>
            </wp:positionH>
            <wp:positionV relativeFrom="paragraph">
              <wp:posOffset>5715</wp:posOffset>
            </wp:positionV>
            <wp:extent cx="3718800" cy="2106000"/>
            <wp:effectExtent l="0" t="0" r="0" b="8890"/>
            <wp:wrapNone/>
            <wp:docPr id="1"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líneas&#10;&#10;Descripción generada automáticamente"/>
                    <pic:cNvPicPr/>
                  </pic:nvPicPr>
                  <pic:blipFill rotWithShape="1">
                    <a:blip r:embed="rId16" cstate="print">
                      <a:extLst>
                        <a:ext uri="{28A0092B-C50C-407E-A947-70E740481C1C}">
                          <a14:useLocalDpi xmlns:a14="http://schemas.microsoft.com/office/drawing/2010/main" val="0"/>
                        </a:ext>
                      </a:extLst>
                    </a:blip>
                    <a:srcRect t="5645"/>
                    <a:stretch/>
                  </pic:blipFill>
                  <pic:spPr bwMode="auto">
                    <a:xfrm>
                      <a:off x="0" y="0"/>
                      <a:ext cx="3718800" cy="210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0F1111" w14:textId="77777777" w:rsidR="007C1D32" w:rsidRDefault="007C1D32" w:rsidP="007C1D32">
      <w:pPr>
        <w:rPr>
          <w:rFonts w:cs="Arial"/>
          <w:bCs/>
          <w:szCs w:val="20"/>
        </w:rPr>
      </w:pPr>
    </w:p>
    <w:p w14:paraId="51D8F9BE" w14:textId="0D66370E" w:rsidR="007C1D32" w:rsidRDefault="007C1D32" w:rsidP="007C1D32">
      <w:pPr>
        <w:rPr>
          <w:rFonts w:cs="Arial"/>
          <w:bCs/>
          <w:szCs w:val="20"/>
        </w:rPr>
      </w:pPr>
    </w:p>
    <w:p w14:paraId="53C9FCE6" w14:textId="77777777" w:rsidR="007C1D32" w:rsidRDefault="007C1D32" w:rsidP="007C1D32">
      <w:pPr>
        <w:rPr>
          <w:rFonts w:cs="Arial"/>
          <w:bCs/>
          <w:szCs w:val="20"/>
        </w:rPr>
      </w:pPr>
    </w:p>
    <w:p w14:paraId="6D73E32E" w14:textId="5554B9CE" w:rsidR="007C1D32" w:rsidRDefault="007C1D32" w:rsidP="007C1D32">
      <w:pPr>
        <w:rPr>
          <w:rFonts w:cs="Arial"/>
          <w:bCs/>
          <w:szCs w:val="20"/>
        </w:rPr>
      </w:pPr>
    </w:p>
    <w:p w14:paraId="3FD05D73" w14:textId="77777777" w:rsidR="007C1D32" w:rsidRDefault="007C1D32" w:rsidP="007C1D32">
      <w:pPr>
        <w:rPr>
          <w:rFonts w:cs="Arial"/>
          <w:bCs/>
          <w:szCs w:val="20"/>
        </w:rPr>
      </w:pPr>
    </w:p>
    <w:p w14:paraId="3933CB99" w14:textId="77777777" w:rsidR="007C1D32" w:rsidRDefault="007C1D32" w:rsidP="007C1D32">
      <w:pPr>
        <w:jc w:val="left"/>
        <w:rPr>
          <w:rFonts w:cs="Arial"/>
          <w:bCs/>
          <w:szCs w:val="20"/>
        </w:rPr>
      </w:pPr>
    </w:p>
    <w:p w14:paraId="0F499B5D" w14:textId="5E419C2B" w:rsidR="007C1D32" w:rsidRPr="007C1D32" w:rsidRDefault="007C1D32" w:rsidP="009B5A12">
      <w:pPr>
        <w:rPr>
          <w:rFonts w:eastAsia="Times New Roman" w:cs="Arial"/>
          <w:szCs w:val="20"/>
          <w:lang w:eastAsia="es-EC"/>
        </w:rPr>
      </w:pPr>
      <w:r w:rsidRPr="007C1D32">
        <w:rPr>
          <w:rFonts w:eastAsia="Times New Roman" w:cs="Arial"/>
          <w:szCs w:val="20"/>
          <w:lang w:eastAsia="es-EC"/>
        </w:rPr>
        <w:br/>
      </w:r>
      <w:r w:rsidRPr="007C1D32">
        <w:rPr>
          <w:rFonts w:eastAsia="Times New Roman" w:cs="Arial"/>
          <w:i/>
          <w:iCs/>
          <w:szCs w:val="20"/>
          <w:lang w:eastAsia="es-EC"/>
        </w:rPr>
        <w:t>Nota.</w:t>
      </w:r>
      <w:r w:rsidRPr="007C1D32">
        <w:rPr>
          <w:rFonts w:eastAsia="Times New Roman" w:cs="Arial"/>
          <w:szCs w:val="20"/>
          <w:lang w:eastAsia="es-EC"/>
        </w:rPr>
        <w:t xml:space="preserve"> Elaboración propia con base en datos oficiales de acceso y uso de internet.</w:t>
      </w:r>
    </w:p>
    <w:p w14:paraId="15DA03A6" w14:textId="77777777" w:rsidR="007C1D32" w:rsidRPr="007C1D32" w:rsidRDefault="007C1D32" w:rsidP="007C1D32">
      <w:pPr>
        <w:rPr>
          <w:rFonts w:eastAsia="Times New Roman" w:cs="Arial"/>
          <w:szCs w:val="20"/>
          <w:lang w:eastAsia="es-EC"/>
        </w:rPr>
      </w:pPr>
      <w:r w:rsidRPr="007C1D32">
        <w:rPr>
          <w:rFonts w:eastAsia="Times New Roman" w:cs="Arial"/>
          <w:szCs w:val="20"/>
          <w:lang w:eastAsia="es-EC"/>
        </w:rPr>
        <w:t>La tendencia creciente en conectividad confirma un entorno propicio para la expansión de procesos digitales, lo que implica mayores exigencias de planificación financiera estratégica para sostener infraestructura, ciberseguridad y actualización tecnológica, en línea con los planteamientos de Higuera (2021) sobre alineación entre estrategia e innovación.</w:t>
      </w:r>
    </w:p>
    <w:p w14:paraId="61863DBC" w14:textId="77777777" w:rsidR="007C1D32" w:rsidRDefault="007C1D32" w:rsidP="007C1D32">
      <w:pPr>
        <w:rPr>
          <w:rFonts w:cs="Arial"/>
          <w:b/>
          <w:szCs w:val="20"/>
        </w:rPr>
      </w:pPr>
      <w:r w:rsidRPr="007C1D32">
        <w:rPr>
          <w:rFonts w:cs="Arial"/>
          <w:b/>
          <w:szCs w:val="20"/>
        </w:rPr>
        <w:t>Figura 2</w:t>
      </w:r>
    </w:p>
    <w:p w14:paraId="791A184B" w14:textId="60BC535D" w:rsidR="007C1D32" w:rsidRDefault="007C1D32" w:rsidP="007C1D32">
      <w:pPr>
        <w:rPr>
          <w:rFonts w:cs="Arial"/>
          <w:bCs/>
          <w:szCs w:val="20"/>
        </w:rPr>
      </w:pPr>
      <w:r w:rsidRPr="007C1D32">
        <w:rPr>
          <w:rFonts w:cs="Arial"/>
          <w:bCs/>
          <w:szCs w:val="20"/>
        </w:rPr>
        <w:t>Componentes de inversión en conectividad y despliegue digital (Ecuador)</w:t>
      </w:r>
    </w:p>
    <w:p w14:paraId="4E8DCD22" w14:textId="5776EAC5" w:rsidR="007C1D32" w:rsidRDefault="007C1D32" w:rsidP="007C1D32">
      <w:pPr>
        <w:rPr>
          <w:rFonts w:cs="Arial"/>
          <w:bCs/>
          <w:szCs w:val="20"/>
        </w:rPr>
      </w:pPr>
      <w:r w:rsidRPr="007C1D32">
        <w:rPr>
          <w:rFonts w:eastAsia="Times New Roman" w:cs="Arial"/>
          <w:noProof/>
          <w:szCs w:val="20"/>
          <w:lang w:eastAsia="es-EC"/>
        </w:rPr>
        <w:drawing>
          <wp:anchor distT="0" distB="0" distL="114300" distR="114300" simplePos="0" relativeHeight="251659264" behindDoc="0" locked="0" layoutInCell="1" allowOverlap="1" wp14:anchorId="35796B36" wp14:editId="5E7F862B">
            <wp:simplePos x="0" y="0"/>
            <wp:positionH relativeFrom="margin">
              <wp:align>center</wp:align>
            </wp:positionH>
            <wp:positionV relativeFrom="paragraph">
              <wp:posOffset>11430</wp:posOffset>
            </wp:positionV>
            <wp:extent cx="3718560" cy="2105660"/>
            <wp:effectExtent l="0" t="0" r="0" b="8890"/>
            <wp:wrapNone/>
            <wp:docPr id="835723322" name="Imagen 83572332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23322" name="Imagen 835723322" descr="Gráfico&#10;&#10;Descripción generada automáticamente"/>
                    <pic:cNvPicPr/>
                  </pic:nvPicPr>
                  <pic:blipFill rotWithShape="1">
                    <a:blip r:embed="rId17" cstate="print">
                      <a:extLst>
                        <a:ext uri="{28A0092B-C50C-407E-A947-70E740481C1C}">
                          <a14:useLocalDpi xmlns:a14="http://schemas.microsoft.com/office/drawing/2010/main" val="0"/>
                        </a:ext>
                      </a:extLst>
                    </a:blip>
                    <a:srcRect t="6116"/>
                    <a:stretch/>
                  </pic:blipFill>
                  <pic:spPr bwMode="auto">
                    <a:xfrm>
                      <a:off x="0" y="0"/>
                      <a:ext cx="3718560" cy="2105660"/>
                    </a:xfrm>
                    <a:prstGeom prst="rect">
                      <a:avLst/>
                    </a:prstGeom>
                    <a:ln>
                      <a:noFill/>
                    </a:ln>
                    <a:extLst>
                      <a:ext uri="{53640926-AAD7-44D8-BBD7-CCE9431645EC}">
                        <a14:shadowObscured xmlns:a14="http://schemas.microsoft.com/office/drawing/2010/main"/>
                      </a:ext>
                    </a:extLst>
                  </pic:spPr>
                </pic:pic>
              </a:graphicData>
            </a:graphic>
          </wp:anchor>
        </w:drawing>
      </w:r>
    </w:p>
    <w:p w14:paraId="6ADDCC5A" w14:textId="1CCFF9B8" w:rsidR="007C1D32" w:rsidRDefault="007C1D32" w:rsidP="007C1D32">
      <w:pPr>
        <w:rPr>
          <w:rFonts w:cs="Arial"/>
          <w:bCs/>
          <w:szCs w:val="20"/>
        </w:rPr>
      </w:pPr>
    </w:p>
    <w:p w14:paraId="396E358D" w14:textId="77777777" w:rsidR="007C1D32" w:rsidRDefault="007C1D32" w:rsidP="007C1D32">
      <w:pPr>
        <w:rPr>
          <w:rFonts w:cs="Arial"/>
          <w:bCs/>
          <w:szCs w:val="20"/>
        </w:rPr>
      </w:pPr>
    </w:p>
    <w:p w14:paraId="7FEFC06A" w14:textId="77777777" w:rsidR="007C1D32" w:rsidRDefault="007C1D32" w:rsidP="007C1D32">
      <w:pPr>
        <w:rPr>
          <w:rFonts w:cs="Arial"/>
          <w:bCs/>
          <w:szCs w:val="20"/>
        </w:rPr>
      </w:pPr>
    </w:p>
    <w:p w14:paraId="7ED6C010" w14:textId="77777777" w:rsidR="007C1D32" w:rsidRDefault="007C1D32" w:rsidP="007C1D32">
      <w:pPr>
        <w:rPr>
          <w:rFonts w:cs="Arial"/>
          <w:bCs/>
          <w:szCs w:val="20"/>
        </w:rPr>
      </w:pPr>
    </w:p>
    <w:p w14:paraId="1996AB1B" w14:textId="77777777" w:rsidR="007C1D32" w:rsidRDefault="007C1D32" w:rsidP="007C1D32">
      <w:pPr>
        <w:rPr>
          <w:rFonts w:cs="Arial"/>
          <w:bCs/>
          <w:szCs w:val="20"/>
        </w:rPr>
      </w:pPr>
    </w:p>
    <w:p w14:paraId="649C311C" w14:textId="3ED6F4B7" w:rsidR="007C1D32" w:rsidRPr="007C1D32" w:rsidRDefault="007C1D32" w:rsidP="007C1D32">
      <w:pPr>
        <w:rPr>
          <w:rFonts w:cs="Arial"/>
          <w:bCs/>
          <w:szCs w:val="20"/>
        </w:rPr>
      </w:pPr>
      <w:r w:rsidRPr="007C1D32">
        <w:rPr>
          <w:rFonts w:eastAsia="Times New Roman" w:cs="Arial"/>
          <w:b/>
          <w:szCs w:val="20"/>
          <w:lang w:eastAsia="es-EC"/>
        </w:rPr>
        <w:br/>
      </w:r>
    </w:p>
    <w:p w14:paraId="5714FDF3" w14:textId="6D1D10EF" w:rsidR="007C1D32" w:rsidRPr="007C1D32" w:rsidRDefault="007C1D32" w:rsidP="007C1D32">
      <w:pPr>
        <w:rPr>
          <w:rFonts w:eastAsia="Times New Roman" w:cs="Arial"/>
          <w:szCs w:val="20"/>
          <w:lang w:eastAsia="es-EC"/>
        </w:rPr>
      </w:pPr>
      <w:r w:rsidRPr="007C1D32">
        <w:rPr>
          <w:rFonts w:eastAsia="Times New Roman" w:cs="Arial"/>
          <w:i/>
          <w:iCs/>
          <w:szCs w:val="20"/>
          <w:lang w:eastAsia="es-EC"/>
        </w:rPr>
        <w:t xml:space="preserve">Nota. </w:t>
      </w:r>
      <w:r w:rsidRPr="007C1D32">
        <w:rPr>
          <w:rFonts w:eastAsia="Times New Roman" w:cs="Arial"/>
          <w:szCs w:val="20"/>
          <w:lang w:eastAsia="es-EC"/>
        </w:rPr>
        <w:t>Elaboración propia con base en indicadores sectoriales de inversión en conectividad.</w:t>
      </w:r>
    </w:p>
    <w:p w14:paraId="5B5F3A01" w14:textId="77777777" w:rsidR="007C1D32" w:rsidRPr="007C1D32" w:rsidRDefault="007C1D32" w:rsidP="007C1D32">
      <w:pPr>
        <w:rPr>
          <w:rFonts w:eastAsia="Times New Roman" w:cs="Arial"/>
          <w:szCs w:val="20"/>
          <w:lang w:eastAsia="es-EC"/>
        </w:rPr>
      </w:pPr>
      <w:r w:rsidRPr="007C1D32">
        <w:rPr>
          <w:rFonts w:eastAsia="Times New Roman" w:cs="Arial"/>
          <w:szCs w:val="20"/>
          <w:lang w:eastAsia="es-EC"/>
        </w:rPr>
        <w:t xml:space="preserve">La Figura 2 permite visualizar la concentración de inversión en infraestructura digital, reforzando la interpretación de que la innovación tecnológica requiere una arquitectura financiera coherente y sostenida. Este hallazgo converge con lo expuesto por Erazo y De la A (2023), quienes subrayan que la digitalización debe acompañarse de mecanismos de control financiero prospectivo para </w:t>
      </w:r>
      <w:r w:rsidRPr="007C1D32">
        <w:rPr>
          <w:rFonts w:eastAsia="Times New Roman" w:cs="Arial"/>
          <w:szCs w:val="20"/>
          <w:lang w:eastAsia="es-EC"/>
        </w:rPr>
        <w:lastRenderedPageBreak/>
        <w:t>anticipar riesgos y garantizar sostenibilidad presupuestaria.</w:t>
      </w:r>
    </w:p>
    <w:p w14:paraId="6F411353" w14:textId="77777777" w:rsidR="007C1D32" w:rsidRPr="007C1D32" w:rsidRDefault="007C1D32" w:rsidP="007C1D32">
      <w:pPr>
        <w:rPr>
          <w:rFonts w:eastAsia="Times New Roman" w:cs="Arial"/>
          <w:szCs w:val="20"/>
          <w:lang w:eastAsia="es-EC"/>
        </w:rPr>
      </w:pPr>
      <w:r w:rsidRPr="007C1D32">
        <w:rPr>
          <w:rFonts w:eastAsia="Times New Roman" w:cs="Arial"/>
          <w:szCs w:val="20"/>
          <w:lang w:eastAsia="es-EC"/>
        </w:rPr>
        <w:t>Los resultados evidencian que la expansión de la conectividad y la magnitud de la inversión sectorial constituyen variables estructurales que condicionan la planificación estratégica financiera, validando empíricamente la necesidad de integrar innovación tecnológica y gestión financiera bajo modelos analíticos robustos y enfoques de regularización estadística avanzada.</w:t>
      </w:r>
    </w:p>
    <w:p w14:paraId="49487023" w14:textId="77777777" w:rsidR="007C1D32" w:rsidRPr="007C1D32" w:rsidRDefault="007C1D32" w:rsidP="007C1D32">
      <w:pPr>
        <w:pStyle w:val="NormalWeb"/>
        <w:spacing w:before="0" w:beforeAutospacing="0" w:afterAutospacing="0" w:line="360" w:lineRule="auto"/>
        <w:jc w:val="both"/>
        <w:rPr>
          <w:rFonts w:ascii="Arial" w:hAnsi="Arial" w:cs="Arial"/>
          <w:sz w:val="20"/>
          <w:szCs w:val="20"/>
        </w:rPr>
      </w:pPr>
      <w:r w:rsidRPr="007C1D32">
        <w:rPr>
          <w:rFonts w:ascii="Arial" w:hAnsi="Arial" w:cs="Arial"/>
          <w:sz w:val="20"/>
          <w:szCs w:val="20"/>
        </w:rPr>
        <w:t>Los resultados obtenidos permiten sostener que la expansión progresiva de la conectividad digital y la estructura predominante de inversión privada en el sector de telecomunicaciones configuran un entorno que condiciona de manera directa la planificación estratégica financiera vinculada a procesos de innovación tecnológica. En este sentido, el incremento sostenido del acceso a internet en hogares, acompañado por la recuperación del uso efectivo en 2023, no solo refleja una ampliación de la base digital, sino que introduce presiones estructurales sobre los sistemas financieros organizacionales, los cuales deben adaptarse a mayores niveles de digitalización operativa. Tal planteamiento se alinea con Landa y Silva (2021), quienes argumentan que la inversión tecnológica bajo incertidumbre exige marcos financieros prospectivos capaces de integrar evaluación de riesgos, análisis de escenarios y criterios de sostenibilidad.</w:t>
      </w:r>
    </w:p>
    <w:p w14:paraId="7B02C986" w14:textId="77777777" w:rsidR="007C1D32" w:rsidRPr="007C1D32" w:rsidRDefault="007C1D32" w:rsidP="007C1D32">
      <w:pPr>
        <w:pStyle w:val="NormalWeb"/>
        <w:spacing w:before="0" w:beforeAutospacing="0" w:afterAutospacing="0" w:line="360" w:lineRule="auto"/>
        <w:jc w:val="both"/>
        <w:rPr>
          <w:rFonts w:ascii="Arial" w:hAnsi="Arial" w:cs="Arial"/>
          <w:sz w:val="20"/>
          <w:szCs w:val="20"/>
        </w:rPr>
      </w:pPr>
      <w:r w:rsidRPr="007C1D32">
        <w:rPr>
          <w:rFonts w:ascii="Arial" w:hAnsi="Arial" w:cs="Arial"/>
          <w:sz w:val="20"/>
          <w:szCs w:val="20"/>
        </w:rPr>
        <w:t>Desde una perspectiva organizacional, la relación positiva identificada entre acceso digital y uso efectivo, aunque de magnitud moderada, confirma que la infraestructura tecnológica constituye un habilitador esencial para la transformación de procesos. No obstante, como advierten Apolinario y Guevara (2021), la innovación no genera mejoras sostenibles en desempeño si no está acompañada por una planificación estratégica coherente y mecanismos formales de control. En consecuencia, el crecimiento de la conectividad observado debe interpretarse como una condición necesaria, aunque no suficiente, para fortalecer la eficiencia financiera institucional.</w:t>
      </w:r>
    </w:p>
    <w:p w14:paraId="34FA1F94" w14:textId="77777777" w:rsidR="007C1D32" w:rsidRPr="007C1D32" w:rsidRDefault="007C1D32" w:rsidP="007C1D32">
      <w:pPr>
        <w:pStyle w:val="NormalWeb"/>
        <w:spacing w:before="0" w:beforeAutospacing="0" w:afterAutospacing="0" w:line="360" w:lineRule="auto"/>
        <w:jc w:val="both"/>
        <w:rPr>
          <w:rFonts w:ascii="Arial" w:hAnsi="Arial" w:cs="Arial"/>
          <w:sz w:val="20"/>
          <w:szCs w:val="20"/>
        </w:rPr>
      </w:pPr>
      <w:r w:rsidRPr="007C1D32">
        <w:rPr>
          <w:rFonts w:ascii="Arial" w:hAnsi="Arial" w:cs="Arial"/>
          <w:sz w:val="20"/>
          <w:szCs w:val="20"/>
        </w:rPr>
        <w:t>Asimismo, los hallazgos empíricos refuerzan lo planteado por Barrios (2021), quien sostiene que la productividad organizacional depende de la capacidad de traducir inversión tecnológica en procesos estructurados y medibles. En efecto, la expansión de infraestructura digital evidenciada en los reportes sectoriales demanda una arquitectura presupuestaria capaz de integrar costos recurrentes, actualización tecnológica y gestión de riesgos asociados a la obsolescencia, particularmente en escenarios de rápida evolución tecnológica.</w:t>
      </w:r>
    </w:p>
    <w:p w14:paraId="7A9A3B04" w14:textId="77777777" w:rsidR="007C1D32" w:rsidRPr="007C1D32" w:rsidRDefault="007C1D32" w:rsidP="007C1D32">
      <w:pPr>
        <w:pStyle w:val="NormalWeb"/>
        <w:spacing w:before="0" w:beforeAutospacing="0" w:afterAutospacing="0" w:line="360" w:lineRule="auto"/>
        <w:jc w:val="both"/>
        <w:rPr>
          <w:rFonts w:ascii="Arial" w:hAnsi="Arial" w:cs="Arial"/>
          <w:sz w:val="20"/>
          <w:szCs w:val="20"/>
        </w:rPr>
      </w:pPr>
      <w:r w:rsidRPr="007C1D32">
        <w:rPr>
          <w:rFonts w:ascii="Arial" w:hAnsi="Arial" w:cs="Arial"/>
          <w:sz w:val="20"/>
          <w:szCs w:val="20"/>
        </w:rPr>
        <w:t>En lo concerniente a la composición de la inversión sectorial, el predominio del financiamiento privado superior al ochenta por ciento del total en 2022 introduce una dimensión estratégica relevante. Martínez et al. (2022) subrayan que la dinámica de financiamiento digital en América Latina está fuertemente condicionada por el sector privado, lo que obliga a los actores públicos y organizacionales a articular mecanismos de coordinación y gobernanza financiera que eviten asimetrías o desalineaciones estratégicas. Por consiguiente, la planificación estratégica financiera integrada debe incorporar análisis de dependencia estructural, riesgo sistémico y sostenibilidad de largo plazo.</w:t>
      </w:r>
    </w:p>
    <w:p w14:paraId="09D708E2" w14:textId="77777777" w:rsidR="007C1D32" w:rsidRPr="007C1D32" w:rsidRDefault="007C1D32" w:rsidP="007C1D32">
      <w:pPr>
        <w:pStyle w:val="NormalWeb"/>
        <w:spacing w:before="0" w:beforeAutospacing="0" w:afterAutospacing="0" w:line="360" w:lineRule="auto"/>
        <w:jc w:val="both"/>
        <w:rPr>
          <w:rFonts w:ascii="Arial" w:hAnsi="Arial" w:cs="Arial"/>
          <w:sz w:val="20"/>
          <w:szCs w:val="20"/>
        </w:rPr>
      </w:pPr>
      <w:r w:rsidRPr="007C1D32">
        <w:rPr>
          <w:rFonts w:ascii="Arial" w:hAnsi="Arial" w:cs="Arial"/>
          <w:sz w:val="20"/>
          <w:szCs w:val="20"/>
        </w:rPr>
        <w:t xml:space="preserve">De manera complementaria, el énfasis en la repotenciación de infraestructura 4G durante 2023 revela una etapa de consolidación tecnológica centrada en capacidad y calidad del servicio. Ahumada (2022) enfatiza que la transición hacia esquemas productivos digitalizados implica no solo </w:t>
      </w:r>
      <w:r w:rsidRPr="007C1D32">
        <w:rPr>
          <w:rFonts w:ascii="Arial" w:hAnsi="Arial" w:cs="Arial"/>
          <w:sz w:val="20"/>
          <w:szCs w:val="20"/>
        </w:rPr>
        <w:lastRenderedPageBreak/>
        <w:t>inversión en infraestructura, sino también en capital humano especializado y sistemas de gestión adaptativos. En este contexto, la planificación financiera estratégica debe internalizar costos asociados a formación, ciberseguridad, interoperabilidad y mantenimiento, evitando subestimaciones que comprometan la estabilidad presupuestaria.</w:t>
      </w:r>
    </w:p>
    <w:p w14:paraId="197C8678" w14:textId="77777777" w:rsidR="007C1D32" w:rsidRPr="007C1D32" w:rsidRDefault="007C1D32" w:rsidP="007C1D32">
      <w:pPr>
        <w:pStyle w:val="NormalWeb"/>
        <w:spacing w:before="0" w:beforeAutospacing="0" w:afterAutospacing="0" w:line="360" w:lineRule="auto"/>
        <w:jc w:val="both"/>
        <w:rPr>
          <w:rFonts w:ascii="Arial" w:hAnsi="Arial" w:cs="Arial"/>
          <w:sz w:val="20"/>
          <w:szCs w:val="20"/>
        </w:rPr>
      </w:pPr>
      <w:r w:rsidRPr="007C1D32">
        <w:rPr>
          <w:rFonts w:ascii="Arial" w:hAnsi="Arial" w:cs="Arial"/>
          <w:sz w:val="20"/>
          <w:szCs w:val="20"/>
        </w:rPr>
        <w:t>En el plano metodológico, la utilización de regresión Ridge permitió mitigar efectos de colinealidad y estabilizar estimaciones en un contexto de series cortas, fortaleciendo la consistencia interpretativa de los coeficientes. Molina (2023) destaca que las técnicas de regularización resultan particularmente pertinentes cuando se analizan variables financieras y tecnológicas altamente correlacionadas, dado que permiten preservar capacidad explicativa sin sacrificar robustez estadística. Asimismo, la aplicación de correlación de Spearman se justificó por la naturaleza no paramétrica de algunos indicadores, asegurando una evaluación adecuada de asociaciones monotónicas bajo supuestos menos restrictivos.</w:t>
      </w:r>
    </w:p>
    <w:p w14:paraId="593F5E31" w14:textId="77777777" w:rsidR="007C1D32" w:rsidRPr="007C1D32" w:rsidRDefault="007C1D32" w:rsidP="007C1D32">
      <w:pPr>
        <w:pStyle w:val="NormalWeb"/>
        <w:spacing w:before="0" w:beforeAutospacing="0" w:afterAutospacing="0" w:line="360" w:lineRule="auto"/>
        <w:jc w:val="both"/>
        <w:rPr>
          <w:rFonts w:ascii="Arial" w:hAnsi="Arial" w:cs="Arial"/>
          <w:sz w:val="20"/>
          <w:szCs w:val="20"/>
        </w:rPr>
      </w:pPr>
      <w:r w:rsidRPr="007C1D32">
        <w:rPr>
          <w:rFonts w:ascii="Arial" w:hAnsi="Arial" w:cs="Arial"/>
          <w:sz w:val="20"/>
          <w:szCs w:val="20"/>
        </w:rPr>
        <w:t>Desde la perspectiva del control y la gobernanza, Gómez y Giraldo (2023) sostienen que la incorporación de analítica avanzada e inteligencia de negocios incrementa la agilidad organizacional y mejora la calidad de la toma de decisiones financieras. Este planteamiento adquiere especial relevancia ante los resultados observados, dado que el incremento de inversión tecnológica exige mecanismos de monitoreo continuo, indicadores de desempeño digital y sistemas de alerta temprana que anticipen desviaciones presupuestarias.</w:t>
      </w:r>
    </w:p>
    <w:p w14:paraId="6F0D6B45" w14:textId="77777777" w:rsidR="007C1D32" w:rsidRPr="007C1D32" w:rsidRDefault="007C1D32" w:rsidP="007C1D32">
      <w:pPr>
        <w:pStyle w:val="NormalWeb"/>
        <w:spacing w:before="0" w:beforeAutospacing="0" w:afterAutospacing="0" w:line="360" w:lineRule="auto"/>
        <w:jc w:val="both"/>
        <w:rPr>
          <w:rFonts w:ascii="Arial" w:hAnsi="Arial" w:cs="Arial"/>
          <w:sz w:val="20"/>
          <w:szCs w:val="20"/>
        </w:rPr>
      </w:pPr>
      <w:r w:rsidRPr="007C1D32">
        <w:rPr>
          <w:rFonts w:ascii="Arial" w:hAnsi="Arial" w:cs="Arial"/>
          <w:sz w:val="20"/>
          <w:szCs w:val="20"/>
        </w:rPr>
        <w:t>Por otra parte, Higuera (2021) señala que la competitividad depende de la alineación estratégica entre innovación y estructura organizacional. A la luz de los resultados, puede inferirse que la expansión de la conectividad constituye una oportunidad estratégica que solo se materializa en desempeño financiero cuando existe coherencia entre planificación, ejecución y evaluación. En ausencia de dicha articulación, la inversión tecnológica podría traducirse en sobrecostos o ineficiencias operativas.</w:t>
      </w:r>
    </w:p>
    <w:p w14:paraId="70D91E5D" w14:textId="77777777" w:rsidR="007C1D32" w:rsidRPr="007C1D32" w:rsidRDefault="007C1D32" w:rsidP="007C1D32">
      <w:pPr>
        <w:pStyle w:val="NormalWeb"/>
        <w:spacing w:before="0" w:beforeAutospacing="0" w:afterAutospacing="0" w:line="360" w:lineRule="auto"/>
        <w:jc w:val="both"/>
        <w:rPr>
          <w:rFonts w:ascii="Arial" w:hAnsi="Arial" w:cs="Arial"/>
          <w:sz w:val="20"/>
          <w:szCs w:val="20"/>
        </w:rPr>
      </w:pPr>
      <w:r w:rsidRPr="007C1D32">
        <w:rPr>
          <w:rFonts w:ascii="Arial" w:hAnsi="Arial" w:cs="Arial"/>
          <w:sz w:val="20"/>
          <w:szCs w:val="20"/>
        </w:rPr>
        <w:t>Desde un enfoque prospectivo, Erazo y De la A (2023) argumentan que la integración de herramientas analíticas en auditoría y control financiero permite anticipar riesgos derivados de procesos digitales complejos. En consecuencia, la magnitud de inversión sectorial observada refuerza la necesidad de incorporar modelos de supervisión financiera basados en análisis predictivo y evaluación continua de impacto.</w:t>
      </w:r>
    </w:p>
    <w:p w14:paraId="4531DB92" w14:textId="4420E02A" w:rsidR="006C58FB" w:rsidRPr="006C58FB" w:rsidRDefault="007C1D32" w:rsidP="007C1D32">
      <w:pPr>
        <w:rPr>
          <w:rFonts w:cs="Arial"/>
          <w:szCs w:val="20"/>
        </w:rPr>
      </w:pPr>
      <w:r w:rsidRPr="007C1D32">
        <w:rPr>
          <w:rFonts w:cs="Arial"/>
          <w:szCs w:val="20"/>
        </w:rPr>
        <w:t>La discusión evidencia que la planificación estratégica financiera integrada a la innovación tecnológica debe concebirse como un sistema adaptativo, sustentado en análisis cuantitativo riguroso, gobernanza financiera sólida y evaluación permanente del entorno digital. La convergencia entre infraestructura tecnológica, inversión sectorial y técnicas estadísticas avanzadas confirma que la sostenibilidad financiera en contextos de transformación digital depende de la capacidad organizacional para anticipar, modelar y gestionar dinámicamente la interacción entre tecnología y recursos económicos</w:t>
      </w:r>
      <w:r w:rsidR="00740388" w:rsidRPr="007C1D32">
        <w:rPr>
          <w:rFonts w:cs="Arial"/>
          <w:szCs w:val="20"/>
        </w:rPr>
        <w:t>.</w:t>
      </w:r>
    </w:p>
    <w:p w14:paraId="29EF887B" w14:textId="61B3AE48" w:rsidR="00B67769" w:rsidRDefault="000F08FC" w:rsidP="006C58FB">
      <w:pPr>
        <w:rPr>
          <w:b/>
          <w:bCs/>
        </w:rPr>
      </w:pPr>
      <w:r w:rsidRPr="000F08FC">
        <w:rPr>
          <w:b/>
          <w:bCs/>
        </w:rPr>
        <w:t>Conclusiones</w:t>
      </w:r>
    </w:p>
    <w:p w14:paraId="388B97F4" w14:textId="77777777" w:rsidR="009B5A12" w:rsidRPr="009B5A12" w:rsidRDefault="009B5A12" w:rsidP="009B5A12">
      <w:pPr>
        <w:rPr>
          <w:rFonts w:eastAsia="Times New Roman" w:cs="Arial"/>
          <w:szCs w:val="20"/>
          <w:lang w:eastAsia="es-EC"/>
        </w:rPr>
      </w:pPr>
      <w:r w:rsidRPr="009B5A12">
        <w:rPr>
          <w:rFonts w:eastAsia="Times New Roman" w:cs="Arial"/>
          <w:szCs w:val="20"/>
          <w:lang w:eastAsia="es-EC"/>
        </w:rPr>
        <w:t xml:space="preserve">La expansión sostenida del acceso y uso de internet observada en el período analizado evidencia que la infraestructura digital constituye un determinante estructural en la configuración de la </w:t>
      </w:r>
      <w:r w:rsidRPr="009B5A12">
        <w:rPr>
          <w:rFonts w:eastAsia="Times New Roman" w:cs="Arial"/>
          <w:szCs w:val="20"/>
          <w:lang w:eastAsia="es-EC"/>
        </w:rPr>
        <w:lastRenderedPageBreak/>
        <w:t>planificación estratégica financiera. El incremento progresivo de la conectividad no solo amplía la base tecnológica disponible para la digitalización de procesos organizacionales, sino que también incrementa la complejidad de la gestión financiera, al exigir mayores niveles de previsión, control y sostenibilidad presupuestaria. En este sentido, la planificación estratégica financiera deja de concebirse como un instrumento estático de asignación de recursos y se transforma en un sistema dinámico de articulación entre inversión tecnológica, gestión del riesgo y evaluación de impacto, particularmente en contextos caracterizados por acelerada transformación digital.</w:t>
      </w:r>
    </w:p>
    <w:p w14:paraId="5E5150DE" w14:textId="77777777" w:rsidR="009B5A12" w:rsidRPr="009B5A12" w:rsidRDefault="009B5A12" w:rsidP="009B5A12">
      <w:pPr>
        <w:rPr>
          <w:rFonts w:eastAsia="Times New Roman" w:cs="Arial"/>
          <w:szCs w:val="20"/>
          <w:lang w:eastAsia="es-EC"/>
        </w:rPr>
      </w:pPr>
      <w:r w:rsidRPr="009B5A12">
        <w:rPr>
          <w:rFonts w:eastAsia="Times New Roman" w:cs="Arial"/>
          <w:szCs w:val="20"/>
          <w:lang w:eastAsia="es-EC"/>
        </w:rPr>
        <w:t>De igual manera, la estructura de inversión sectorial identificada, marcada por una participación predominante del financiamiento privado y por una concentración significativa en infraestructura de conectividad, revela que la innovación tecnológica depende de un entorno financiero interdependiente y altamente sensible a dinámicas de mercado. Este escenario obliga a las organizaciones y entidades públicas a diseñar esquemas de planificación financiera que integren análisis de dependencia estructural, coordinación institucional y mecanismos de gobernanza que aseguren coherencia entre objetivos estratégicos y disponibilidad de recursos. En consecuencia, la sostenibilidad de los procesos de innovación tecnológica no puede desvincularse de la arquitectura financiera que los respalda, ya que la ausencia de alineación puede derivar en sobrecostos, duplicidad de esfuerzos o debilitamiento de la capacidad operativa.</w:t>
      </w:r>
    </w:p>
    <w:p w14:paraId="70983DB2" w14:textId="77777777" w:rsidR="009B5A12" w:rsidRPr="009B5A12" w:rsidRDefault="009B5A12" w:rsidP="009B5A12">
      <w:pPr>
        <w:rPr>
          <w:rFonts w:eastAsia="Times New Roman" w:cs="Arial"/>
          <w:szCs w:val="20"/>
          <w:lang w:eastAsia="es-EC"/>
        </w:rPr>
      </w:pPr>
      <w:r w:rsidRPr="009B5A12">
        <w:rPr>
          <w:rFonts w:eastAsia="Times New Roman" w:cs="Arial"/>
          <w:szCs w:val="20"/>
          <w:lang w:eastAsia="es-EC"/>
        </w:rPr>
        <w:t>Por otra parte, los resultados derivados de la aplicación de métodos estadísticos avanzados, como la regresión regularizada y el análisis de correlación no paramétrica, permitieron identificar asociaciones positivas entre madurez digital y desempeño financiero, además de fortalecer la estabilidad interpretativa del modelo ante posibles problemas de colinealidad. Estos hallazgos demuestran que la integración entre planificación estratégica financiera e innovación tecnológica requiere aproximaciones analíticas rigurosas que superen los esquemas tradicionales de evaluación presupuestaria. La utilización de técnicas cuantitativas robustas aporta evidencia estructurada para la toma de decisiones estratégicas, permitiendo modelar escenarios, anticipar riesgos y optimizar la selección de proyectos tecnológicos bajo criterios de eficiencia y sostenibilidad.</w:t>
      </w:r>
    </w:p>
    <w:p w14:paraId="5457484B" w14:textId="1B83C8D5" w:rsidR="0009506E" w:rsidRDefault="009B5A12" w:rsidP="009B5A12">
      <w:pPr>
        <w:rPr>
          <w:rFonts w:cs="Arial"/>
          <w:szCs w:val="20"/>
        </w:rPr>
      </w:pPr>
      <w:r w:rsidRPr="009B5A12">
        <w:rPr>
          <w:rFonts w:eastAsia="Times New Roman" w:cs="Arial"/>
          <w:szCs w:val="20"/>
          <w:lang w:eastAsia="es-EC"/>
        </w:rPr>
        <w:t>El estudio confirma que la planificación estratégica financiera integrada a procesos de innovación tecnológica debe concebirse como un sistema adaptativo y prospectivo, sustentado en análisis cuantitativo avanzado, monitoreo continuo y evaluación permanente del entorno digital. La convergencia entre expansión de conectividad, magnitud de inversión sectorial y evidencia estadística robusta pone de manifiesto que la sostenibilidad financiera en contextos de transformación tecnológica acelerada depende, fundamentalmente, de la capacidad organizacional para anticipar cambios estructurales, gestionar recursos con racionalidad estratégica y mantener coherencia entre infraestructura digital, estructura presupuestaria y objetivos institucionales de largo alcance.</w:t>
      </w:r>
    </w:p>
    <w:p w14:paraId="4B9C0D8C" w14:textId="11786F6C" w:rsidR="00523375" w:rsidRDefault="00CE4A57" w:rsidP="0009506E">
      <w:pPr>
        <w:rPr>
          <w:b/>
          <w:bCs/>
        </w:rPr>
      </w:pPr>
      <w:r w:rsidRPr="000F08FC">
        <w:rPr>
          <w:b/>
          <w:bCs/>
        </w:rPr>
        <w:t>Referencias</w:t>
      </w:r>
      <w:r w:rsidRPr="000F08FC">
        <w:rPr>
          <w:b/>
          <w:bCs/>
          <w:spacing w:val="-14"/>
        </w:rPr>
        <w:t xml:space="preserve"> </w:t>
      </w:r>
      <w:r w:rsidRPr="000F08FC">
        <w:rPr>
          <w:b/>
          <w:bCs/>
        </w:rPr>
        <w:t>bibliográficas</w:t>
      </w:r>
    </w:p>
    <w:sdt>
      <w:sdtPr>
        <w:rPr>
          <w:rFonts w:ascii="Arial" w:eastAsia="Arial MT" w:hAnsi="Arial" w:cs="Arial MT"/>
          <w:bCs/>
          <w:color w:val="000000"/>
          <w:sz w:val="20"/>
          <w:szCs w:val="22"/>
          <w:lang w:val="pt-BR" w:eastAsia="en-US"/>
        </w:rPr>
        <w:tag w:val="MENDELEY_BIBLIOGRAPHY"/>
        <w:id w:val="1603683392"/>
        <w:placeholder>
          <w:docPart w:val="E6F4099F21A347AD85C4936DAE5C449C"/>
        </w:placeholder>
      </w:sdtPr>
      <w:sdtEndPr>
        <w:rPr>
          <w:rFonts w:ascii="Times New Roman" w:eastAsia="Times New Roman" w:hAnsi="Times New Roman" w:cs="Times New Roman"/>
          <w:bCs w:val="0"/>
          <w:color w:val="auto"/>
          <w:sz w:val="24"/>
          <w:szCs w:val="24"/>
          <w:lang w:eastAsia="es-EC"/>
        </w:rPr>
      </w:sdtEndPr>
      <w:sdtContent>
        <w:p w14:paraId="460F1897"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Aguirre Benalcázar, M. C., Romero Hidalgo, O. M., Jaramillo Paredes, M. F., &amp; Ruiz Carrillo, J. A. (2021). Situación de la mediana empresa ecuatoriana: Rasgos distintivos de sus prácticas gerenciales. Revista de Ciencias Sociales (Ve), 27(2), 352–366. https://doi.org/10.31876/rcs.v27i2.35929 </w:t>
          </w:r>
        </w:p>
        <w:p w14:paraId="4C2F304C"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lastRenderedPageBreak/>
            <w:t xml:space="preserve">Ahumada, E. M. (2022). Habilidades y competencias laborales en el contexto de la industria 4.0. Revista Estudios Gerenciales, 38, 1–20. https://doi.org/10.4067/S0718-50062022000100019 </w:t>
          </w:r>
        </w:p>
        <w:p w14:paraId="495CAC79"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Apolinario, N., &amp; Guevara, F. (2021). Gestión estratégica de la innovación y su relación con el desempeño organizacional. Información Tecnológica, 32(1), 151–162. https://doi.org/10.4067/S0718-07642021000100151 </w:t>
          </w:r>
        </w:p>
        <w:p w14:paraId="03518822"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Barrios, H. J. (2021). Innovación y productividad: estrategias de gestión para mejorar resultados. Información Tecnológica, 32(1), 57–66. https://doi.org/10.4067/S0718-07642021000100057 </w:t>
          </w:r>
        </w:p>
        <w:p w14:paraId="69E04296"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Berrocal, S. (2021). Desempeño financiero y características de gobierno corporativo: evidencia en mercados emergentes. Revista Mexicana de Economía y Finanzas, 17(2), 1–21. https://doi.org/10.21919/remef.v17i2.609 </w:t>
          </w:r>
        </w:p>
        <w:p w14:paraId="5B676436"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Del Do, A. M., Villagra, A., &amp; </w:t>
          </w:r>
          <w:proofErr w:type="spellStart"/>
          <w:r w:rsidRPr="009B5A12">
            <w:rPr>
              <w:rFonts w:ascii="Arial" w:hAnsi="Arial" w:cs="Arial"/>
              <w:sz w:val="20"/>
              <w:szCs w:val="20"/>
            </w:rPr>
            <w:t>Pandolfi</w:t>
          </w:r>
          <w:proofErr w:type="spellEnd"/>
          <w:r w:rsidRPr="009B5A12">
            <w:rPr>
              <w:rFonts w:ascii="Arial" w:hAnsi="Arial" w:cs="Arial"/>
              <w:sz w:val="20"/>
              <w:szCs w:val="20"/>
            </w:rPr>
            <w:t xml:space="preserve">, D. (2023). Desafíos de la transformación digital en las PYMES. Informes Científicos Técnicos - UNPA, 15(1), 200–229. https://doi.org/10.22305/ict-unpa.v15.n1.941 </w:t>
          </w:r>
        </w:p>
        <w:p w14:paraId="287C55CB"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Encarnación, V. (2022). A </w:t>
          </w:r>
          <w:proofErr w:type="spellStart"/>
          <w:r w:rsidRPr="009B5A12">
            <w:rPr>
              <w:rFonts w:ascii="Arial" w:hAnsi="Arial" w:cs="Arial"/>
              <w:sz w:val="20"/>
              <w:szCs w:val="20"/>
            </w:rPr>
            <w:t>model</w:t>
          </w:r>
          <w:proofErr w:type="spellEnd"/>
          <w:r w:rsidRPr="009B5A12">
            <w:rPr>
              <w:rFonts w:ascii="Arial" w:hAnsi="Arial" w:cs="Arial"/>
              <w:sz w:val="20"/>
              <w:szCs w:val="20"/>
            </w:rPr>
            <w:t xml:space="preserve"> </w:t>
          </w:r>
          <w:proofErr w:type="spellStart"/>
          <w:r w:rsidRPr="009B5A12">
            <w:rPr>
              <w:rFonts w:ascii="Arial" w:hAnsi="Arial" w:cs="Arial"/>
              <w:sz w:val="20"/>
              <w:szCs w:val="20"/>
            </w:rPr>
            <w:t>proposal</w:t>
          </w:r>
          <w:proofErr w:type="spellEnd"/>
          <w:r w:rsidRPr="009B5A12">
            <w:rPr>
              <w:rFonts w:ascii="Arial" w:hAnsi="Arial" w:cs="Arial"/>
              <w:sz w:val="20"/>
              <w:szCs w:val="20"/>
            </w:rPr>
            <w:t xml:space="preserve"> </w:t>
          </w:r>
          <w:proofErr w:type="spellStart"/>
          <w:r w:rsidRPr="009B5A12">
            <w:rPr>
              <w:rFonts w:ascii="Arial" w:hAnsi="Arial" w:cs="Arial"/>
              <w:sz w:val="20"/>
              <w:szCs w:val="20"/>
            </w:rPr>
            <w:t>based</w:t>
          </w:r>
          <w:proofErr w:type="spellEnd"/>
          <w:r w:rsidRPr="009B5A12">
            <w:rPr>
              <w:rFonts w:ascii="Arial" w:hAnsi="Arial" w:cs="Arial"/>
              <w:sz w:val="20"/>
              <w:szCs w:val="20"/>
            </w:rPr>
            <w:t xml:space="preserve"> </w:t>
          </w:r>
          <w:proofErr w:type="spellStart"/>
          <w:r w:rsidRPr="009B5A12">
            <w:rPr>
              <w:rFonts w:ascii="Arial" w:hAnsi="Arial" w:cs="Arial"/>
              <w:sz w:val="20"/>
              <w:szCs w:val="20"/>
            </w:rPr>
            <w:t>on</w:t>
          </w:r>
          <w:proofErr w:type="spellEnd"/>
          <w:r w:rsidRPr="009B5A12">
            <w:rPr>
              <w:rFonts w:ascii="Arial" w:hAnsi="Arial" w:cs="Arial"/>
              <w:sz w:val="20"/>
              <w:szCs w:val="20"/>
            </w:rPr>
            <w:t xml:space="preserve"> IFRS </w:t>
          </w:r>
          <w:proofErr w:type="spellStart"/>
          <w:r w:rsidRPr="009B5A12">
            <w:rPr>
              <w:rFonts w:ascii="Arial" w:hAnsi="Arial" w:cs="Arial"/>
              <w:sz w:val="20"/>
              <w:szCs w:val="20"/>
            </w:rPr>
            <w:t>for</w:t>
          </w:r>
          <w:proofErr w:type="spellEnd"/>
          <w:r w:rsidRPr="009B5A12">
            <w:rPr>
              <w:rFonts w:ascii="Arial" w:hAnsi="Arial" w:cs="Arial"/>
              <w:sz w:val="20"/>
              <w:szCs w:val="20"/>
            </w:rPr>
            <w:t xml:space="preserve"> </w:t>
          </w:r>
          <w:proofErr w:type="spellStart"/>
          <w:r w:rsidRPr="009B5A12">
            <w:rPr>
              <w:rFonts w:ascii="Arial" w:hAnsi="Arial" w:cs="Arial"/>
              <w:sz w:val="20"/>
              <w:szCs w:val="20"/>
            </w:rPr>
            <w:t>SMEs</w:t>
          </w:r>
          <w:proofErr w:type="spellEnd"/>
          <w:r w:rsidRPr="009B5A12">
            <w:rPr>
              <w:rFonts w:ascii="Arial" w:hAnsi="Arial" w:cs="Arial"/>
              <w:sz w:val="20"/>
              <w:szCs w:val="20"/>
            </w:rPr>
            <w:t xml:space="preserve"> </w:t>
          </w:r>
          <w:proofErr w:type="spellStart"/>
          <w:r w:rsidRPr="009B5A12">
            <w:rPr>
              <w:rFonts w:ascii="Arial" w:hAnsi="Arial" w:cs="Arial"/>
              <w:sz w:val="20"/>
              <w:szCs w:val="20"/>
            </w:rPr>
            <w:t>to</w:t>
          </w:r>
          <w:proofErr w:type="spellEnd"/>
          <w:r w:rsidRPr="009B5A12">
            <w:rPr>
              <w:rFonts w:ascii="Arial" w:hAnsi="Arial" w:cs="Arial"/>
              <w:sz w:val="20"/>
              <w:szCs w:val="20"/>
            </w:rPr>
            <w:t xml:space="preserve"> </w:t>
          </w:r>
          <w:proofErr w:type="spellStart"/>
          <w:r w:rsidRPr="009B5A12">
            <w:rPr>
              <w:rFonts w:ascii="Arial" w:hAnsi="Arial" w:cs="Arial"/>
              <w:sz w:val="20"/>
              <w:szCs w:val="20"/>
            </w:rPr>
            <w:t>improve</w:t>
          </w:r>
          <w:proofErr w:type="spellEnd"/>
          <w:r w:rsidRPr="009B5A12">
            <w:rPr>
              <w:rFonts w:ascii="Arial" w:hAnsi="Arial" w:cs="Arial"/>
              <w:sz w:val="20"/>
              <w:szCs w:val="20"/>
            </w:rPr>
            <w:t xml:space="preserve"> </w:t>
          </w:r>
          <w:proofErr w:type="spellStart"/>
          <w:r w:rsidRPr="009B5A12">
            <w:rPr>
              <w:rFonts w:ascii="Arial" w:hAnsi="Arial" w:cs="Arial"/>
              <w:sz w:val="20"/>
              <w:szCs w:val="20"/>
            </w:rPr>
            <w:t>economic</w:t>
          </w:r>
          <w:proofErr w:type="spellEnd"/>
          <w:r w:rsidRPr="009B5A12">
            <w:rPr>
              <w:rFonts w:ascii="Arial" w:hAnsi="Arial" w:cs="Arial"/>
              <w:sz w:val="20"/>
              <w:szCs w:val="20"/>
            </w:rPr>
            <w:t xml:space="preserve"> and </w:t>
          </w:r>
          <w:proofErr w:type="spellStart"/>
          <w:r w:rsidRPr="009B5A12">
            <w:rPr>
              <w:rFonts w:ascii="Arial" w:hAnsi="Arial" w:cs="Arial"/>
              <w:sz w:val="20"/>
              <w:szCs w:val="20"/>
            </w:rPr>
            <w:t>financial</w:t>
          </w:r>
          <w:proofErr w:type="spellEnd"/>
          <w:r w:rsidRPr="009B5A12">
            <w:rPr>
              <w:rFonts w:ascii="Arial" w:hAnsi="Arial" w:cs="Arial"/>
              <w:sz w:val="20"/>
              <w:szCs w:val="20"/>
            </w:rPr>
            <w:t xml:space="preserve"> </w:t>
          </w:r>
          <w:proofErr w:type="spellStart"/>
          <w:r w:rsidRPr="009B5A12">
            <w:rPr>
              <w:rFonts w:ascii="Arial" w:hAnsi="Arial" w:cs="Arial"/>
              <w:sz w:val="20"/>
              <w:szCs w:val="20"/>
            </w:rPr>
            <w:t>management</w:t>
          </w:r>
          <w:proofErr w:type="spellEnd"/>
          <w:r w:rsidRPr="009B5A12">
            <w:rPr>
              <w:rFonts w:ascii="Arial" w:hAnsi="Arial" w:cs="Arial"/>
              <w:sz w:val="20"/>
              <w:szCs w:val="20"/>
            </w:rPr>
            <w:t xml:space="preserve"> in </w:t>
          </w:r>
          <w:proofErr w:type="spellStart"/>
          <w:r w:rsidRPr="009B5A12">
            <w:rPr>
              <w:rFonts w:ascii="Arial" w:hAnsi="Arial" w:cs="Arial"/>
              <w:sz w:val="20"/>
              <w:szCs w:val="20"/>
            </w:rPr>
            <w:t>small</w:t>
          </w:r>
          <w:proofErr w:type="spellEnd"/>
          <w:r w:rsidRPr="009B5A12">
            <w:rPr>
              <w:rFonts w:ascii="Arial" w:hAnsi="Arial" w:cs="Arial"/>
              <w:sz w:val="20"/>
              <w:szCs w:val="20"/>
            </w:rPr>
            <w:t xml:space="preserve"> </w:t>
          </w:r>
          <w:proofErr w:type="spellStart"/>
          <w:r w:rsidRPr="009B5A12">
            <w:rPr>
              <w:rFonts w:ascii="Arial" w:hAnsi="Arial" w:cs="Arial"/>
              <w:sz w:val="20"/>
              <w:szCs w:val="20"/>
            </w:rPr>
            <w:t>enterprises</w:t>
          </w:r>
          <w:proofErr w:type="spellEnd"/>
          <w:r w:rsidRPr="009B5A12">
            <w:rPr>
              <w:rFonts w:ascii="Arial" w:hAnsi="Arial" w:cs="Arial"/>
              <w:sz w:val="20"/>
              <w:szCs w:val="20"/>
            </w:rPr>
            <w:t xml:space="preserve"> in Guayaquil. Revista Finanzas y Política Económica, 14(1), 49–74. https://doi.org/10.14718/revfinanzpolitecon.v14.n1.2022.3 </w:t>
          </w:r>
        </w:p>
        <w:p w14:paraId="44F40EFC"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Erazo, J. C. (2021). Capital intelectual y gestión de innovación: Pequeñas y medianas empresas de cuero y calzado en Tungurahua–Ecuador. Revista de Ciencias Sociales (Ve), 27(4), 230–245. https://doi.org/10.31876/rcs.v27i.37004 </w:t>
          </w:r>
        </w:p>
        <w:p w14:paraId="61EFA2E6"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Erazo, J., &amp; De la A, S. (2023). Auditoría del futuro, la prospectiva y la inteligencia artificial para anticipar riesgos en las organizaciones. </w:t>
          </w:r>
          <w:proofErr w:type="spellStart"/>
          <w:r w:rsidRPr="009B5A12">
            <w:rPr>
              <w:rFonts w:ascii="Arial" w:hAnsi="Arial" w:cs="Arial"/>
              <w:sz w:val="20"/>
              <w:szCs w:val="20"/>
            </w:rPr>
            <w:t>Novasinergia</w:t>
          </w:r>
          <w:proofErr w:type="spellEnd"/>
          <w:r w:rsidRPr="009B5A12">
            <w:rPr>
              <w:rFonts w:ascii="Arial" w:hAnsi="Arial" w:cs="Arial"/>
              <w:sz w:val="20"/>
              <w:szCs w:val="20"/>
            </w:rPr>
            <w:t xml:space="preserve">, 6(1), 105–119. https://doi.org/10.37135/ns.01.11.07 </w:t>
          </w:r>
        </w:p>
        <w:p w14:paraId="41494B17"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Galarza, N., Sánchez, G., &amp; Paredes, J. (2023). Sistema de gobernanza corporativa mediante </w:t>
          </w:r>
          <w:proofErr w:type="spellStart"/>
          <w:r w:rsidRPr="009B5A12">
            <w:rPr>
              <w:rFonts w:ascii="Arial" w:hAnsi="Arial" w:cs="Arial"/>
              <w:sz w:val="20"/>
              <w:szCs w:val="20"/>
            </w:rPr>
            <w:t>blockchain</w:t>
          </w:r>
          <w:proofErr w:type="spellEnd"/>
          <w:r w:rsidRPr="009B5A12">
            <w:rPr>
              <w:rFonts w:ascii="Arial" w:hAnsi="Arial" w:cs="Arial"/>
              <w:sz w:val="20"/>
              <w:szCs w:val="20"/>
            </w:rPr>
            <w:t xml:space="preserve"> y la planificación estratégica. Revista de la Facultad de Ciencias Económicas, 31(2), 1–18. https://doi.org/10.22517/25393812.25468 </w:t>
          </w:r>
        </w:p>
        <w:p w14:paraId="33D27CA9"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Gómez, D., &amp; Giraldo, D. (2023). Business </w:t>
          </w:r>
          <w:proofErr w:type="spellStart"/>
          <w:r w:rsidRPr="009B5A12">
            <w:rPr>
              <w:rFonts w:ascii="Arial" w:hAnsi="Arial" w:cs="Arial"/>
              <w:sz w:val="20"/>
              <w:szCs w:val="20"/>
            </w:rPr>
            <w:t>intelligence</w:t>
          </w:r>
          <w:proofErr w:type="spellEnd"/>
          <w:r w:rsidRPr="009B5A12">
            <w:rPr>
              <w:rFonts w:ascii="Arial" w:hAnsi="Arial" w:cs="Arial"/>
              <w:sz w:val="20"/>
              <w:szCs w:val="20"/>
            </w:rPr>
            <w:t xml:space="preserve"> y agilidad organizacional: implicaciones para la gestión y el desempeño. Estudios Gerenciales, 39, 1–16. https://doi.org/10.18046/J.ESTGER.2022.162.4689</w:t>
          </w:r>
        </w:p>
        <w:p w14:paraId="2D0527ED"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Hernández, J., &amp; Vivanco, G. (2023). Percepciones de los </w:t>
          </w:r>
          <w:proofErr w:type="spellStart"/>
          <w:r w:rsidRPr="009B5A12">
            <w:rPr>
              <w:rFonts w:ascii="Arial" w:hAnsi="Arial" w:cs="Arial"/>
              <w:sz w:val="20"/>
              <w:szCs w:val="20"/>
            </w:rPr>
            <w:t>controllers</w:t>
          </w:r>
          <w:proofErr w:type="spellEnd"/>
          <w:r w:rsidRPr="009B5A12">
            <w:rPr>
              <w:rFonts w:ascii="Arial" w:hAnsi="Arial" w:cs="Arial"/>
              <w:sz w:val="20"/>
              <w:szCs w:val="20"/>
            </w:rPr>
            <w:t xml:space="preserve"> sobre los sistemas de control de gestión de empresas peruanas. CAPIC REVIEW, 20, 1–15. https://doi.org/10.35928/cr.vol20.2022.169 </w:t>
          </w:r>
        </w:p>
        <w:p w14:paraId="39D98258"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Higuera, V. J. (2021). Estrategia, innovación y competitividad: análisis de capacidades organizacionales. Información Tecnológica, 32(6), 37–48. https://doi.org/10.4067/S0718-07642021000600037 </w:t>
          </w:r>
        </w:p>
        <w:p w14:paraId="686A3C3D"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Landa, D., &amp; Silva, H. (2021). Incertidumbre, inversión tecnológica y decisiones financieras en la empresa. Contaduría y Administración, 66(4), 1–28. https://doi.org/10.22201/fca.24488410e.2021.3182 </w:t>
          </w:r>
        </w:p>
        <w:p w14:paraId="4E95DAEF"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López Arellano, J. R., Romero Rubio, S. A., &amp; Morales Ávila, M. C. (2022). Gestión de innovación de parques científicos como ventaja competitiva para universidades públicas. Revista Venezolana de Gerencia, 27(100), 1630–1644. https://doi.org/10.52080/rvgluz.27.100.21 </w:t>
          </w:r>
        </w:p>
        <w:p w14:paraId="65FCD671"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lastRenderedPageBreak/>
            <w:t xml:space="preserve">López, A. (2023). Las Fintech y la inteligencia artificial: una alianza estratégica para la competitividad. Revista </w:t>
          </w:r>
          <w:proofErr w:type="spellStart"/>
          <w:r w:rsidRPr="009B5A12">
            <w:rPr>
              <w:rFonts w:ascii="Arial" w:hAnsi="Arial" w:cs="Arial"/>
              <w:sz w:val="20"/>
              <w:szCs w:val="20"/>
            </w:rPr>
            <w:t>Blockchain</w:t>
          </w:r>
          <w:proofErr w:type="spellEnd"/>
          <w:r w:rsidRPr="009B5A12">
            <w:rPr>
              <w:rFonts w:ascii="Arial" w:hAnsi="Arial" w:cs="Arial"/>
              <w:sz w:val="20"/>
              <w:szCs w:val="20"/>
            </w:rPr>
            <w:t xml:space="preserve"> e Inteligencia Artificial, 2(2), 144–165. https://doi.org/10.5209/reve.92553 </w:t>
          </w:r>
        </w:p>
        <w:p w14:paraId="2FBBA22A"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López, L., &amp; García, J. (2023). Smart </w:t>
          </w:r>
          <w:proofErr w:type="spellStart"/>
          <w:r w:rsidRPr="009B5A12">
            <w:rPr>
              <w:rFonts w:ascii="Arial" w:hAnsi="Arial" w:cs="Arial"/>
              <w:sz w:val="20"/>
              <w:szCs w:val="20"/>
            </w:rPr>
            <w:t>cities</w:t>
          </w:r>
          <w:proofErr w:type="spellEnd"/>
          <w:r w:rsidRPr="009B5A12">
            <w:rPr>
              <w:rFonts w:ascii="Arial" w:hAnsi="Arial" w:cs="Arial"/>
              <w:sz w:val="20"/>
              <w:szCs w:val="20"/>
            </w:rPr>
            <w:t xml:space="preserve">: revisión sistemática sobre innovación y gestión urbana. Innovar, 33(89), 1–20. https://doi.org/10.15446/innovar.v33n89.107038 </w:t>
          </w:r>
        </w:p>
        <w:p w14:paraId="4C48FB6D"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Martínez, L., Guercio, M., </w:t>
          </w:r>
          <w:proofErr w:type="spellStart"/>
          <w:r w:rsidRPr="009B5A12">
            <w:rPr>
              <w:rFonts w:ascii="Arial" w:hAnsi="Arial" w:cs="Arial"/>
              <w:sz w:val="20"/>
              <w:szCs w:val="20"/>
            </w:rPr>
            <w:t>Orazi</w:t>
          </w:r>
          <w:proofErr w:type="spellEnd"/>
          <w:r w:rsidRPr="009B5A12">
            <w:rPr>
              <w:rFonts w:ascii="Arial" w:hAnsi="Arial" w:cs="Arial"/>
              <w:sz w:val="20"/>
              <w:szCs w:val="20"/>
            </w:rPr>
            <w:t xml:space="preserve">, S., &amp; </w:t>
          </w:r>
          <w:proofErr w:type="spellStart"/>
          <w:r w:rsidRPr="009B5A12">
            <w:rPr>
              <w:rFonts w:ascii="Arial" w:hAnsi="Arial" w:cs="Arial"/>
              <w:sz w:val="20"/>
              <w:szCs w:val="20"/>
            </w:rPr>
            <w:t>Vigier</w:t>
          </w:r>
          <w:proofErr w:type="spellEnd"/>
          <w:r w:rsidRPr="009B5A12">
            <w:rPr>
              <w:rFonts w:ascii="Arial" w:hAnsi="Arial" w:cs="Arial"/>
              <w:sz w:val="20"/>
              <w:szCs w:val="20"/>
            </w:rPr>
            <w:t xml:space="preserve">, H. (2022). Instrumentos financieros claves para la inclusión financiera en América Latina. Revista Finanzas y Política Económica, 14(1), 17–47. https://doi.org/10.14718/revfinanzpolitecon.v14.n1.2022.2 </w:t>
          </w:r>
        </w:p>
        <w:p w14:paraId="26E25A18"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proofErr w:type="spellStart"/>
          <w:r w:rsidRPr="009B5A12">
            <w:rPr>
              <w:rFonts w:ascii="Arial" w:hAnsi="Arial" w:cs="Arial"/>
              <w:sz w:val="20"/>
              <w:szCs w:val="20"/>
            </w:rPr>
            <w:t>Mayett</w:t>
          </w:r>
          <w:proofErr w:type="spellEnd"/>
          <w:r w:rsidRPr="009B5A12">
            <w:rPr>
              <w:rFonts w:ascii="Arial" w:hAnsi="Arial" w:cs="Arial"/>
              <w:sz w:val="20"/>
              <w:szCs w:val="20"/>
            </w:rPr>
            <w:t xml:space="preserve">, M. E. (2022). Innovación tecnológica en la gestión empresarial y su efecto en la eficiencia financiera. Investigación Administrativa, 51(130), 1–18. https://doi.org/10.35426/iav51n130.06 </w:t>
          </w:r>
        </w:p>
        <w:p w14:paraId="54A707DC"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Molina, R. (2023). Predicción de riesgo crediticio mediante aprendizaje automático en instituciones financieras. Ciencia, Tecnología y Política, 19(1), 1–18. https://doi.org/10.46443/catyp.v19i1.319</w:t>
          </w:r>
        </w:p>
        <w:p w14:paraId="26E56528"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Núñez Lira, L. A., García Rojo, L., &amp; Hernández Romero, G. A. (2023). La planificación estratégica financiera en la eficiencia empresarial: Análisis de la relación y estrategias clave. Revista Venezolana de Gerencia, 28(Especial 9), </w:t>
          </w:r>
          <w:proofErr w:type="spellStart"/>
          <w:r w:rsidRPr="009B5A12">
            <w:rPr>
              <w:rFonts w:ascii="Arial" w:hAnsi="Arial" w:cs="Arial"/>
              <w:sz w:val="20"/>
              <w:szCs w:val="20"/>
            </w:rPr>
            <w:t>Article</w:t>
          </w:r>
          <w:proofErr w:type="spellEnd"/>
          <w:r w:rsidRPr="009B5A12">
            <w:rPr>
              <w:rFonts w:ascii="Arial" w:hAnsi="Arial" w:cs="Arial"/>
              <w:sz w:val="20"/>
              <w:szCs w:val="20"/>
            </w:rPr>
            <w:t xml:space="preserve"> e9.39. https://doi.org/10.52080/rvgluz.28.e9.39 </w:t>
          </w:r>
        </w:p>
        <w:p w14:paraId="49666807"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proofErr w:type="spellStart"/>
          <w:r w:rsidRPr="009B5A12">
            <w:rPr>
              <w:rFonts w:ascii="Arial" w:hAnsi="Arial" w:cs="Arial"/>
              <w:sz w:val="20"/>
              <w:szCs w:val="20"/>
            </w:rPr>
            <w:t>Pilacuán</w:t>
          </w:r>
          <w:proofErr w:type="spellEnd"/>
          <w:r w:rsidRPr="009B5A12">
            <w:rPr>
              <w:rFonts w:ascii="Arial" w:hAnsi="Arial" w:cs="Arial"/>
              <w:sz w:val="20"/>
              <w:szCs w:val="20"/>
            </w:rPr>
            <w:t xml:space="preserve">, P., Cadena, A., &amp; Torres, R. (2021). Criptomonedas y sistema financiero: implicaciones para el control y la gestión del riesgo. Revista Non Verba, 11(2), 1–15. https://doi.org/10.21855/resnonverba.v11i2.604 </w:t>
          </w:r>
        </w:p>
        <w:p w14:paraId="78B1ACBB"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Ramírez Molina, R. I., Guillén Romero, H., &amp; Flores Albornoz, J. A. (2021). Estrategias empresariales y cadena de valor en mercados sostenibles: Una revisión teórica. Revista de Ciencias Sociales (Ve), 27, 103–116. https://doi.org/10.31876/rcs.v27i.36999 </w:t>
          </w:r>
        </w:p>
        <w:p w14:paraId="533C7A1E"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Roldán, P., Sepúlveda, J., &amp; Aguilar, G. (2022). Omnicanalidad y desempeño empresarial: desafíos de transformación digital. Estudios Gerenciales, 38(164), 1–15. https://doi.org/10.18046/j.estger.2022.164.5006</w:t>
          </w:r>
        </w:p>
        <w:p w14:paraId="5225B839"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Trujillo Valdiviezo, G., Rodríguez Alegre, L., Mejía Ayala, D., &amp; López Padilla, R. D. P. (2022). Transformación digital en América Latina: Una revisión sistemática. Revista Venezolana de Gerencia, 27(100), 1519–1536. https://doi.org/10.52080/rvgluz.27.100.15 </w:t>
          </w:r>
        </w:p>
        <w:p w14:paraId="0C194F0F"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r w:rsidRPr="009B5A12">
            <w:rPr>
              <w:rFonts w:ascii="Arial" w:hAnsi="Arial" w:cs="Arial"/>
              <w:sz w:val="20"/>
              <w:szCs w:val="20"/>
            </w:rPr>
            <w:t xml:space="preserve">Trujillo, D. (2023). Transformación digital y desempeño financiero: evidencia en organizaciones latinoamericanas. Revista Venezolana de Gerencia, 28(101), 1–20. https://doi.org/10.52080/rvgluz.28.101.18 </w:t>
          </w:r>
        </w:p>
        <w:p w14:paraId="41FA9897" w14:textId="77777777" w:rsidR="009B5A12" w:rsidRPr="009B5A12" w:rsidRDefault="009B5A12" w:rsidP="009B5A12">
          <w:pPr>
            <w:pStyle w:val="NormalWeb"/>
            <w:spacing w:before="240" w:beforeAutospacing="0" w:afterAutospacing="0" w:line="283" w:lineRule="auto"/>
            <w:ind w:left="720" w:hanging="720"/>
            <w:jc w:val="both"/>
            <w:rPr>
              <w:rFonts w:ascii="Arial" w:hAnsi="Arial" w:cs="Arial"/>
              <w:sz w:val="20"/>
              <w:szCs w:val="20"/>
            </w:rPr>
          </w:pPr>
          <w:proofErr w:type="spellStart"/>
          <w:r w:rsidRPr="009B5A12">
            <w:rPr>
              <w:rFonts w:ascii="Arial" w:hAnsi="Arial" w:cs="Arial"/>
              <w:sz w:val="20"/>
              <w:szCs w:val="20"/>
            </w:rPr>
            <w:t>Ugando</w:t>
          </w:r>
          <w:proofErr w:type="spellEnd"/>
          <w:r w:rsidRPr="009B5A12">
            <w:rPr>
              <w:rFonts w:ascii="Arial" w:hAnsi="Arial" w:cs="Arial"/>
              <w:sz w:val="20"/>
              <w:szCs w:val="20"/>
            </w:rPr>
            <w:t xml:space="preserve"> Peñate, M., Solórzano Bonilla, M., &amp; colaboradores. (2023). Un modelo de gestión financiera operativa y su efecto en la rentabilidad del sector transportista: Caso Compañía Bonanza S.A. Economía y Negocios, 14(1), 69–83. https://doi.org/10.29019/eyn.v14i1.1101 </w:t>
          </w:r>
        </w:p>
        <w:p w14:paraId="15F7FB50" w14:textId="45BC9DCA" w:rsidR="003474D1" w:rsidRPr="00C86E10" w:rsidRDefault="009B5A12" w:rsidP="009B5A12">
          <w:pPr>
            <w:pStyle w:val="NormalWeb"/>
            <w:spacing w:before="240" w:beforeAutospacing="0" w:afterAutospacing="0" w:line="283" w:lineRule="auto"/>
            <w:ind w:left="720" w:hanging="720"/>
            <w:jc w:val="both"/>
          </w:pPr>
          <w:r w:rsidRPr="009B5A12">
            <w:rPr>
              <w:rFonts w:ascii="Arial" w:hAnsi="Arial" w:cs="Arial"/>
              <w:sz w:val="20"/>
              <w:szCs w:val="20"/>
            </w:rPr>
            <w:t xml:space="preserve">Velasco, A. (2022). Legalidad y riesgos de </w:t>
          </w:r>
          <w:proofErr w:type="spellStart"/>
          <w:r w:rsidRPr="009B5A12">
            <w:rPr>
              <w:rFonts w:ascii="Arial" w:hAnsi="Arial" w:cs="Arial"/>
              <w:sz w:val="20"/>
              <w:szCs w:val="20"/>
            </w:rPr>
            <w:t>blockchain</w:t>
          </w:r>
          <w:proofErr w:type="spellEnd"/>
          <w:r w:rsidRPr="009B5A12">
            <w:rPr>
              <w:rFonts w:ascii="Arial" w:hAnsi="Arial" w:cs="Arial"/>
              <w:sz w:val="20"/>
              <w:szCs w:val="20"/>
            </w:rPr>
            <w:t xml:space="preserve"> en operaciones con impacto financiero: implicaciones para cumplimiento y control. USFQ </w:t>
          </w:r>
          <w:proofErr w:type="spellStart"/>
          <w:r w:rsidRPr="009B5A12">
            <w:rPr>
              <w:rFonts w:ascii="Arial" w:hAnsi="Arial" w:cs="Arial"/>
              <w:sz w:val="20"/>
              <w:szCs w:val="20"/>
            </w:rPr>
            <w:t>Law</w:t>
          </w:r>
          <w:proofErr w:type="spellEnd"/>
          <w:r w:rsidRPr="009B5A12">
            <w:rPr>
              <w:rFonts w:ascii="Arial" w:hAnsi="Arial" w:cs="Arial"/>
              <w:sz w:val="20"/>
              <w:szCs w:val="20"/>
            </w:rPr>
            <w:t xml:space="preserve"> </w:t>
          </w:r>
          <w:proofErr w:type="spellStart"/>
          <w:r w:rsidRPr="009B5A12">
            <w:rPr>
              <w:rFonts w:ascii="Arial" w:hAnsi="Arial" w:cs="Arial"/>
              <w:sz w:val="20"/>
              <w:szCs w:val="20"/>
            </w:rPr>
            <w:t>Review</w:t>
          </w:r>
          <w:proofErr w:type="spellEnd"/>
          <w:r w:rsidRPr="009B5A12">
            <w:rPr>
              <w:rFonts w:ascii="Arial" w:hAnsi="Arial" w:cs="Arial"/>
              <w:sz w:val="20"/>
              <w:szCs w:val="20"/>
            </w:rPr>
            <w:t>, 9(1), 1–25. https://doi.org/10.18272/ulr.v9i1.2567</w:t>
          </w:r>
        </w:p>
      </w:sdtContent>
    </w:sdt>
    <w:p w14:paraId="30C88BC1" w14:textId="037B3B4D" w:rsidR="004C50FE" w:rsidRPr="00C42456" w:rsidRDefault="004C50FE" w:rsidP="009704CE">
      <w:pPr>
        <w:rPr>
          <w:rFonts w:eastAsia="Times New Roman" w:cs="Arial"/>
          <w:color w:val="000000"/>
          <w:sz w:val="12"/>
          <w:szCs w:val="14"/>
        </w:rPr>
      </w:pPr>
    </w:p>
    <w:sectPr w:rsidR="004C50FE" w:rsidRPr="00C42456" w:rsidSect="00E37391">
      <w:headerReference w:type="default" r:id="rId18"/>
      <w:footerReference w:type="default" r:id="rId19"/>
      <w:pgSz w:w="11910" w:h="16840"/>
      <w:pgMar w:top="1320" w:right="1559" w:bottom="280" w:left="1559" w:header="230" w:footer="0" w:gutter="0"/>
      <w:pgNumType w:start="57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CF673" w14:textId="77777777" w:rsidR="004538E6" w:rsidRDefault="004538E6">
      <w:r>
        <w:separator/>
      </w:r>
    </w:p>
  </w:endnote>
  <w:endnote w:type="continuationSeparator" w:id="0">
    <w:p w14:paraId="646DC8D8" w14:textId="77777777" w:rsidR="004538E6" w:rsidRDefault="0045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829020"/>
      <w:docPartObj>
        <w:docPartGallery w:val="Page Numbers (Bottom of Page)"/>
        <w:docPartUnique/>
      </w:docPartObj>
    </w:sdtPr>
    <w:sdtContent>
      <w:p w14:paraId="301B6C49" w14:textId="77777777" w:rsidR="00411B2C" w:rsidRDefault="00411B2C" w:rsidP="004E6266">
        <w:pPr>
          <w:pStyle w:val="Piedepgina"/>
          <w:spacing w:line="240" w:lineRule="auto"/>
          <w:jc w:val="center"/>
        </w:pPr>
      </w:p>
      <w:p w14:paraId="2046ECD5" w14:textId="77777777" w:rsidR="004E6266" w:rsidRDefault="00001205" w:rsidP="00411B2C">
        <w:pPr>
          <w:pStyle w:val="Piedepgina"/>
          <w:jc w:val="center"/>
        </w:pPr>
        <w:r>
          <w:fldChar w:fldCharType="begin"/>
        </w:r>
        <w:r>
          <w:instrText>PAGE   \* MERGEFORMAT</w:instrText>
        </w:r>
        <w:r>
          <w:fldChar w:fldCharType="separate"/>
        </w:r>
        <w:r>
          <w:t>2</w:t>
        </w:r>
        <w:r>
          <w:fldChar w:fldCharType="end"/>
        </w:r>
      </w:p>
      <w:p w14:paraId="02F01E99" w14:textId="7FC0BE06" w:rsidR="00411B2C" w:rsidRDefault="00000000" w:rsidP="004E6266">
        <w:pPr>
          <w:pStyle w:val="Piedepgina"/>
          <w:spacing w:line="240" w:lineRule="auto"/>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9A0C1" w14:textId="77777777" w:rsidR="004538E6" w:rsidRDefault="004538E6">
      <w:r>
        <w:separator/>
      </w:r>
    </w:p>
  </w:footnote>
  <w:footnote w:type="continuationSeparator" w:id="0">
    <w:p w14:paraId="43A5FDFD" w14:textId="77777777" w:rsidR="004538E6" w:rsidRDefault="0045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C201D" w14:textId="77777777" w:rsidR="00844EFF" w:rsidRDefault="00844EFF">
    <w:pPr>
      <w:pStyle w:val="Textoindependiente"/>
      <w:spacing w:line="14" w:lineRule="auto"/>
      <w:ind w:left="0"/>
      <w:jc w:val="left"/>
    </w:pPr>
  </w:p>
  <w:p w14:paraId="56FF412B" w14:textId="601FADD1" w:rsidR="00523375" w:rsidRDefault="004E6266">
    <w:pPr>
      <w:pStyle w:val="Textoindependiente"/>
      <w:spacing w:line="14" w:lineRule="auto"/>
      <w:ind w:left="0"/>
      <w:jc w:val="left"/>
    </w:pPr>
    <w:r>
      <w:rPr>
        <w:noProof/>
      </w:rPr>
      <w:drawing>
        <wp:anchor distT="0" distB="0" distL="114300" distR="114300" simplePos="0" relativeHeight="251661824" behindDoc="0" locked="0" layoutInCell="1" allowOverlap="1" wp14:anchorId="18E81B40" wp14:editId="3A746124">
          <wp:simplePos x="0" y="0"/>
          <wp:positionH relativeFrom="margin">
            <wp:posOffset>178025</wp:posOffset>
          </wp:positionH>
          <wp:positionV relativeFrom="paragraph">
            <wp:posOffset>-33406</wp:posOffset>
          </wp:positionV>
          <wp:extent cx="412115" cy="696595"/>
          <wp:effectExtent l="0" t="0" r="6985" b="8255"/>
          <wp:wrapTopAndBottom/>
          <wp:docPr id="32330747" name="Imagen 3233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115"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6F46">
      <w:rPr>
        <w:noProof/>
      </w:rPr>
      <mc:AlternateContent>
        <mc:Choice Requires="wps">
          <w:drawing>
            <wp:anchor distT="0" distB="0" distL="0" distR="0" simplePos="0" relativeHeight="251660800" behindDoc="1" locked="0" layoutInCell="1" allowOverlap="1" wp14:anchorId="58CDB73A" wp14:editId="257465F1">
              <wp:simplePos x="0" y="0"/>
              <wp:positionH relativeFrom="page">
                <wp:posOffset>1844040</wp:posOffset>
              </wp:positionH>
              <wp:positionV relativeFrom="page">
                <wp:posOffset>365760</wp:posOffset>
              </wp:positionV>
              <wp:extent cx="1311275" cy="3886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1275" cy="388620"/>
                      </a:xfrm>
                      <a:prstGeom prst="rect">
                        <a:avLst/>
                      </a:prstGeom>
                    </wps:spPr>
                    <wps:txbx>
                      <w:txbxContent>
                        <w:p w14:paraId="48801D69" w14:textId="77777777" w:rsidR="00523375" w:rsidRDefault="00D828F5">
                          <w:pPr>
                            <w:spacing w:before="10"/>
                            <w:ind w:left="20" w:right="18"/>
                            <w:rPr>
                              <w:rFonts w:ascii="Times New Roman" w:hAnsi="Times New Roman"/>
                              <w:b/>
                            </w:rPr>
                          </w:pPr>
                          <w:r>
                            <w:rPr>
                              <w:rFonts w:ascii="Times New Roman" w:hAnsi="Times New Roman"/>
                              <w:b/>
                            </w:rPr>
                            <w:t>VISIÓN</w:t>
                          </w:r>
                          <w:r>
                            <w:rPr>
                              <w:rFonts w:ascii="Times New Roman" w:hAnsi="Times New Roman"/>
                              <w:b/>
                              <w:spacing w:val="-13"/>
                            </w:rPr>
                            <w:t xml:space="preserve"> </w:t>
                          </w:r>
                          <w:r>
                            <w:rPr>
                              <w:rFonts w:ascii="Times New Roman" w:hAnsi="Times New Roman"/>
                              <w:b/>
                            </w:rPr>
                            <w:t>ACADÉMICA ISSN: 3103-1536</w:t>
                          </w:r>
                        </w:p>
                      </w:txbxContent>
                    </wps:txbx>
                    <wps:bodyPr wrap="square" lIns="0" tIns="0" rIns="0" bIns="0" rtlCol="0">
                      <a:noAutofit/>
                    </wps:bodyPr>
                  </wps:wsp>
                </a:graphicData>
              </a:graphic>
              <wp14:sizeRelV relativeFrom="margin">
                <wp14:pctHeight>0</wp14:pctHeight>
              </wp14:sizeRelV>
            </wp:anchor>
          </w:drawing>
        </mc:Choice>
        <mc:Fallback>
          <w:pict>
            <v:shapetype w14:anchorId="58CDB73A" id="_x0000_t202" coordsize="21600,21600" o:spt="202" path="m,l,21600r21600,l21600,xe">
              <v:stroke joinstyle="miter"/>
              <v:path gradientshapeok="t" o:connecttype="rect"/>
            </v:shapetype>
            <v:shape id="Textbox 3" o:spid="_x0000_s1026" type="#_x0000_t202" style="position:absolute;margin-left:145.2pt;margin-top:28.8pt;width:103.25pt;height:30.6pt;z-index:-2516556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" filled="f" stroked="f">
              <v:textbox inset="0,0,0,0">
                <w:txbxContent>
                  <w:p w14:paraId="48801D69" w14:textId="77777777" w:rsidR="00523375" w:rsidRDefault="00D828F5">
                    <w:pPr>
                      <w:spacing w:before="10"/>
                      <w:ind w:left="20" w:right="18"/>
                      <w:rPr>
                        <w:rFonts w:ascii="Times New Roman" w:hAnsi="Times New Roman"/>
                        <w:b/>
                      </w:rPr>
                    </w:pPr>
                    <w:r>
                      <w:rPr>
                        <w:rFonts w:ascii="Times New Roman" w:hAnsi="Times New Roman"/>
                        <w:b/>
                      </w:rPr>
                      <w:t>VISIÓN</w:t>
                    </w:r>
                    <w:r>
                      <w:rPr>
                        <w:rFonts w:ascii="Times New Roman" w:hAnsi="Times New Roman"/>
                        <w:b/>
                        <w:spacing w:val="-13"/>
                      </w:rPr>
                      <w:t xml:space="preserve"> </w:t>
                    </w:r>
                    <w:r>
                      <w:rPr>
                        <w:rFonts w:ascii="Times New Roman" w:hAnsi="Times New Roman"/>
                        <w:b/>
                      </w:rPr>
                      <w:t>ACADÉMICA ISSN: 3103-1536</w:t>
                    </w:r>
                  </w:p>
                </w:txbxContent>
              </v:textbox>
              <w10:wrap anchorx="page" anchory="page"/>
            </v:shape>
          </w:pict>
        </mc:Fallback>
      </mc:AlternateContent>
    </w:r>
    <w:r w:rsidR="00D828F5">
      <w:rPr>
        <w:noProof/>
      </w:rPr>
      <mc:AlternateContent>
        <mc:Choice Requires="wps">
          <w:drawing>
            <wp:anchor distT="0" distB="0" distL="0" distR="0" simplePos="0" relativeHeight="251657728" behindDoc="1" locked="0" layoutInCell="1" allowOverlap="1" wp14:anchorId="5A0F9AEF" wp14:editId="498683B1">
              <wp:simplePos x="0" y="0"/>
              <wp:positionH relativeFrom="page">
                <wp:posOffset>1816100</wp:posOffset>
              </wp:positionH>
              <wp:positionV relativeFrom="page">
                <wp:posOffset>812799</wp:posOffset>
              </wp:positionV>
              <wp:extent cx="46736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3600" cy="1270"/>
                      </a:xfrm>
                      <a:custGeom>
                        <a:avLst/>
                        <a:gdLst/>
                        <a:ahLst/>
                        <a:cxnLst/>
                        <a:rect l="l" t="t" r="r" b="b"/>
                        <a:pathLst>
                          <a:path w="4673600">
                            <a:moveTo>
                              <a:pt x="0" y="0"/>
                            </a:moveTo>
                            <a:lnTo>
                              <a:pt x="467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28EB9C" id="Graphic 2" o:spid="_x0000_s1026" style="position:absolute;margin-left:143pt;margin-top:64pt;width:368pt;height:.1pt;z-index:-251658752;visibility:visible;mso-wrap-style:square;mso-wrap-distance-left:0;mso-wrap-distance-top:0;mso-wrap-distance-right:0;mso-wrap-distance-bottom:0;mso-position-horizontal:absolute;mso-position-horizontal-relative:page;mso-position-vertical:absolute;mso-position-vertical-relative:page;v-text-anchor:top" coordsize="467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" path="m,l4673600,e" filled="f" strokeweight=".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B2A"/>
    <w:multiLevelType w:val="multilevel"/>
    <w:tmpl w:val="091C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B760A"/>
    <w:multiLevelType w:val="multilevel"/>
    <w:tmpl w:val="655C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E3E05"/>
    <w:multiLevelType w:val="hybridMultilevel"/>
    <w:tmpl w:val="F11082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E567B76"/>
    <w:multiLevelType w:val="multilevel"/>
    <w:tmpl w:val="694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80443"/>
    <w:multiLevelType w:val="hybridMultilevel"/>
    <w:tmpl w:val="85C8EFC4"/>
    <w:lvl w:ilvl="0" w:tplc="88383EF4">
      <w:start w:val="1"/>
      <w:numFmt w:val="decimal"/>
      <w:lvlText w:val="%1."/>
      <w:lvlJc w:val="left"/>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A17765D"/>
    <w:multiLevelType w:val="multilevel"/>
    <w:tmpl w:val="4166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54F28"/>
    <w:multiLevelType w:val="hybridMultilevel"/>
    <w:tmpl w:val="F556AFE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B1D4578"/>
    <w:multiLevelType w:val="hybridMultilevel"/>
    <w:tmpl w:val="2C620B50"/>
    <w:lvl w:ilvl="0" w:tplc="DE342440">
      <w:start w:val="1"/>
      <w:numFmt w:val="lowerLetter"/>
      <w:lvlText w:val="(%1)"/>
      <w:lvlJc w:val="left"/>
      <w:pPr>
        <w:ind w:left="717" w:hanging="360"/>
      </w:pPr>
      <w:rPr>
        <w:rFonts w:hint="default"/>
      </w:rPr>
    </w:lvl>
    <w:lvl w:ilvl="1" w:tplc="300A0019" w:tentative="1">
      <w:start w:val="1"/>
      <w:numFmt w:val="lowerLetter"/>
      <w:lvlText w:val="%2."/>
      <w:lvlJc w:val="left"/>
      <w:pPr>
        <w:ind w:left="1437" w:hanging="360"/>
      </w:pPr>
    </w:lvl>
    <w:lvl w:ilvl="2" w:tplc="300A001B" w:tentative="1">
      <w:start w:val="1"/>
      <w:numFmt w:val="lowerRoman"/>
      <w:lvlText w:val="%3."/>
      <w:lvlJc w:val="right"/>
      <w:pPr>
        <w:ind w:left="2157" w:hanging="180"/>
      </w:pPr>
    </w:lvl>
    <w:lvl w:ilvl="3" w:tplc="300A000F" w:tentative="1">
      <w:start w:val="1"/>
      <w:numFmt w:val="decimal"/>
      <w:lvlText w:val="%4."/>
      <w:lvlJc w:val="left"/>
      <w:pPr>
        <w:ind w:left="2877" w:hanging="360"/>
      </w:pPr>
    </w:lvl>
    <w:lvl w:ilvl="4" w:tplc="300A0019" w:tentative="1">
      <w:start w:val="1"/>
      <w:numFmt w:val="lowerLetter"/>
      <w:lvlText w:val="%5."/>
      <w:lvlJc w:val="left"/>
      <w:pPr>
        <w:ind w:left="3597" w:hanging="360"/>
      </w:pPr>
    </w:lvl>
    <w:lvl w:ilvl="5" w:tplc="300A001B" w:tentative="1">
      <w:start w:val="1"/>
      <w:numFmt w:val="lowerRoman"/>
      <w:lvlText w:val="%6."/>
      <w:lvlJc w:val="right"/>
      <w:pPr>
        <w:ind w:left="4317" w:hanging="180"/>
      </w:pPr>
    </w:lvl>
    <w:lvl w:ilvl="6" w:tplc="300A000F" w:tentative="1">
      <w:start w:val="1"/>
      <w:numFmt w:val="decimal"/>
      <w:lvlText w:val="%7."/>
      <w:lvlJc w:val="left"/>
      <w:pPr>
        <w:ind w:left="5037" w:hanging="360"/>
      </w:pPr>
    </w:lvl>
    <w:lvl w:ilvl="7" w:tplc="300A0019" w:tentative="1">
      <w:start w:val="1"/>
      <w:numFmt w:val="lowerLetter"/>
      <w:lvlText w:val="%8."/>
      <w:lvlJc w:val="left"/>
      <w:pPr>
        <w:ind w:left="5757" w:hanging="360"/>
      </w:pPr>
    </w:lvl>
    <w:lvl w:ilvl="8" w:tplc="300A001B" w:tentative="1">
      <w:start w:val="1"/>
      <w:numFmt w:val="lowerRoman"/>
      <w:lvlText w:val="%9."/>
      <w:lvlJc w:val="right"/>
      <w:pPr>
        <w:ind w:left="6477" w:hanging="180"/>
      </w:pPr>
    </w:lvl>
  </w:abstractNum>
  <w:abstractNum w:abstractNumId="8" w15:restartNumberingAfterBreak="0">
    <w:nsid w:val="367027C1"/>
    <w:multiLevelType w:val="multilevel"/>
    <w:tmpl w:val="B28AC89A"/>
    <w:lvl w:ilvl="0">
      <w:start w:val="1"/>
      <w:numFmt w:val="decimal"/>
      <w:lvlText w:val="%1."/>
      <w:lvlJc w:val="left"/>
      <w:pPr>
        <w:ind w:left="3427" w:hanging="396"/>
        <w:jc w:val="right"/>
      </w:pPr>
      <w:rPr>
        <w:rFonts w:ascii="Times New Roman" w:eastAsia="Times New Roman" w:hAnsi="Times New Roman" w:cs="Times New Roman" w:hint="default"/>
        <w:b/>
        <w:bCs/>
        <w:i w:val="0"/>
        <w:iCs w:val="0"/>
        <w:spacing w:val="0"/>
        <w:w w:val="102"/>
        <w:sz w:val="22"/>
        <w:szCs w:val="22"/>
        <w:lang w:val="es-ES" w:eastAsia="en-US" w:bidi="ar-SA"/>
      </w:rPr>
    </w:lvl>
    <w:lvl w:ilvl="1">
      <w:start w:val="1"/>
      <w:numFmt w:val="decimal"/>
      <w:lvlText w:val="%1.%2."/>
      <w:lvlJc w:val="left"/>
      <w:pPr>
        <w:ind w:left="3152" w:hanging="396"/>
        <w:jc w:val="right"/>
      </w:pPr>
      <w:rPr>
        <w:rFonts w:ascii="Times New Roman" w:eastAsia="Times New Roman" w:hAnsi="Times New Roman" w:cs="Times New Roman" w:hint="default"/>
        <w:b/>
        <w:bCs/>
        <w:i w:val="0"/>
        <w:iCs w:val="0"/>
        <w:spacing w:val="0"/>
        <w:w w:val="102"/>
        <w:sz w:val="22"/>
        <w:szCs w:val="22"/>
        <w:lang w:val="es-ES" w:eastAsia="en-US" w:bidi="ar-SA"/>
      </w:rPr>
    </w:lvl>
    <w:lvl w:ilvl="2">
      <w:numFmt w:val="bullet"/>
      <w:lvlText w:val="•"/>
      <w:lvlJc w:val="left"/>
      <w:pPr>
        <w:ind w:left="4080" w:hanging="396"/>
      </w:pPr>
      <w:rPr>
        <w:rFonts w:hint="default"/>
        <w:lang w:val="es-ES" w:eastAsia="en-US" w:bidi="ar-SA"/>
      </w:rPr>
    </w:lvl>
    <w:lvl w:ilvl="3">
      <w:numFmt w:val="bullet"/>
      <w:lvlText w:val="•"/>
      <w:lvlJc w:val="left"/>
      <w:pPr>
        <w:ind w:left="4740" w:hanging="396"/>
      </w:pPr>
      <w:rPr>
        <w:rFonts w:hint="default"/>
        <w:lang w:val="es-ES" w:eastAsia="en-US" w:bidi="ar-SA"/>
      </w:rPr>
    </w:lvl>
    <w:lvl w:ilvl="4">
      <w:numFmt w:val="bullet"/>
      <w:lvlText w:val="•"/>
      <w:lvlJc w:val="left"/>
      <w:pPr>
        <w:ind w:left="5400" w:hanging="396"/>
      </w:pPr>
      <w:rPr>
        <w:rFonts w:hint="default"/>
        <w:lang w:val="es-ES" w:eastAsia="en-US" w:bidi="ar-SA"/>
      </w:rPr>
    </w:lvl>
    <w:lvl w:ilvl="5">
      <w:numFmt w:val="bullet"/>
      <w:lvlText w:val="•"/>
      <w:lvlJc w:val="left"/>
      <w:pPr>
        <w:ind w:left="6060" w:hanging="396"/>
      </w:pPr>
      <w:rPr>
        <w:rFonts w:hint="default"/>
        <w:lang w:val="es-ES" w:eastAsia="en-US" w:bidi="ar-SA"/>
      </w:rPr>
    </w:lvl>
    <w:lvl w:ilvl="6">
      <w:numFmt w:val="bullet"/>
      <w:lvlText w:val="•"/>
      <w:lvlJc w:val="left"/>
      <w:pPr>
        <w:ind w:left="6720" w:hanging="396"/>
      </w:pPr>
      <w:rPr>
        <w:rFonts w:hint="default"/>
        <w:lang w:val="es-ES" w:eastAsia="en-US" w:bidi="ar-SA"/>
      </w:rPr>
    </w:lvl>
    <w:lvl w:ilvl="7">
      <w:numFmt w:val="bullet"/>
      <w:lvlText w:val="•"/>
      <w:lvlJc w:val="left"/>
      <w:pPr>
        <w:ind w:left="7380" w:hanging="396"/>
      </w:pPr>
      <w:rPr>
        <w:rFonts w:hint="default"/>
        <w:lang w:val="es-ES" w:eastAsia="en-US" w:bidi="ar-SA"/>
      </w:rPr>
    </w:lvl>
    <w:lvl w:ilvl="8">
      <w:numFmt w:val="bullet"/>
      <w:lvlText w:val="•"/>
      <w:lvlJc w:val="left"/>
      <w:pPr>
        <w:ind w:left="8040" w:hanging="396"/>
      </w:pPr>
      <w:rPr>
        <w:rFonts w:hint="default"/>
        <w:lang w:val="es-ES" w:eastAsia="en-US" w:bidi="ar-SA"/>
      </w:rPr>
    </w:lvl>
  </w:abstractNum>
  <w:abstractNum w:abstractNumId="9" w15:restartNumberingAfterBreak="0">
    <w:nsid w:val="42115644"/>
    <w:multiLevelType w:val="multilevel"/>
    <w:tmpl w:val="928A5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0F302E"/>
    <w:multiLevelType w:val="multilevel"/>
    <w:tmpl w:val="192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5419B"/>
    <w:multiLevelType w:val="multilevel"/>
    <w:tmpl w:val="2E24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9266E9"/>
    <w:multiLevelType w:val="hybridMultilevel"/>
    <w:tmpl w:val="F12E155A"/>
    <w:lvl w:ilvl="0" w:tplc="3F46D6C6">
      <w:start w:val="15"/>
      <w:numFmt w:val="bullet"/>
      <w:lvlText w:val=""/>
      <w:lvlJc w:val="left"/>
      <w:pPr>
        <w:ind w:left="720" w:hanging="360"/>
      </w:pPr>
      <w:rPr>
        <w:rFonts w:ascii="Arial" w:eastAsia="Arial MT"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16A51"/>
    <w:multiLevelType w:val="hybridMultilevel"/>
    <w:tmpl w:val="DBA4C3F2"/>
    <w:lvl w:ilvl="0" w:tplc="300A0017">
      <w:start w:val="1"/>
      <w:numFmt w:val="lowerLetter"/>
      <w:lvlText w:val="%1)"/>
      <w:lvlJc w:val="left"/>
      <w:pPr>
        <w:ind w:left="644" w:hanging="360"/>
      </w:p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14" w15:restartNumberingAfterBreak="0">
    <w:nsid w:val="54C6041B"/>
    <w:multiLevelType w:val="multilevel"/>
    <w:tmpl w:val="5D4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51A40"/>
    <w:multiLevelType w:val="multilevel"/>
    <w:tmpl w:val="652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437058">
    <w:abstractNumId w:val="8"/>
  </w:num>
  <w:num w:numId="2" w16cid:durableId="654798790">
    <w:abstractNumId w:val="6"/>
  </w:num>
  <w:num w:numId="3" w16cid:durableId="1939676543">
    <w:abstractNumId w:val="4"/>
  </w:num>
  <w:num w:numId="4" w16cid:durableId="794443380">
    <w:abstractNumId w:val="2"/>
  </w:num>
  <w:num w:numId="5" w16cid:durableId="884102788">
    <w:abstractNumId w:val="12"/>
  </w:num>
  <w:num w:numId="6" w16cid:durableId="1796286225">
    <w:abstractNumId w:val="0"/>
  </w:num>
  <w:num w:numId="7" w16cid:durableId="134837395">
    <w:abstractNumId w:val="3"/>
  </w:num>
  <w:num w:numId="8" w16cid:durableId="372848079">
    <w:abstractNumId w:val="14"/>
  </w:num>
  <w:num w:numId="9" w16cid:durableId="1308629591">
    <w:abstractNumId w:val="13"/>
  </w:num>
  <w:num w:numId="10" w16cid:durableId="1073359075">
    <w:abstractNumId w:val="5"/>
  </w:num>
  <w:num w:numId="11" w16cid:durableId="514461472">
    <w:abstractNumId w:val="9"/>
  </w:num>
  <w:num w:numId="12" w16cid:durableId="1008866718">
    <w:abstractNumId w:val="15"/>
  </w:num>
  <w:num w:numId="13" w16cid:durableId="42826272">
    <w:abstractNumId w:val="11"/>
  </w:num>
  <w:num w:numId="14" w16cid:durableId="1427725643">
    <w:abstractNumId w:val="10"/>
  </w:num>
  <w:num w:numId="15" w16cid:durableId="1350180264">
    <w:abstractNumId w:val="1"/>
  </w:num>
  <w:num w:numId="16" w16cid:durableId="668213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75"/>
    <w:rsid w:val="00001205"/>
    <w:rsid w:val="000015EE"/>
    <w:rsid w:val="00002426"/>
    <w:rsid w:val="00014FDB"/>
    <w:rsid w:val="00027879"/>
    <w:rsid w:val="000308F2"/>
    <w:rsid w:val="00031063"/>
    <w:rsid w:val="000312AD"/>
    <w:rsid w:val="00044ACE"/>
    <w:rsid w:val="00063D7B"/>
    <w:rsid w:val="000658A7"/>
    <w:rsid w:val="0007408D"/>
    <w:rsid w:val="00094B22"/>
    <w:rsid w:val="0009506E"/>
    <w:rsid w:val="000B06A5"/>
    <w:rsid w:val="000B0F97"/>
    <w:rsid w:val="000B37EC"/>
    <w:rsid w:val="000C4850"/>
    <w:rsid w:val="000E37D0"/>
    <w:rsid w:val="000E5F3B"/>
    <w:rsid w:val="000F08FC"/>
    <w:rsid w:val="000F146B"/>
    <w:rsid w:val="000F185B"/>
    <w:rsid w:val="0011341B"/>
    <w:rsid w:val="0011502E"/>
    <w:rsid w:val="00117189"/>
    <w:rsid w:val="0012470F"/>
    <w:rsid w:val="00126C6F"/>
    <w:rsid w:val="00131DEE"/>
    <w:rsid w:val="00135D23"/>
    <w:rsid w:val="0016747C"/>
    <w:rsid w:val="001753F7"/>
    <w:rsid w:val="00190108"/>
    <w:rsid w:val="001979A1"/>
    <w:rsid w:val="001A2AA2"/>
    <w:rsid w:val="001C5DFB"/>
    <w:rsid w:val="001E5E96"/>
    <w:rsid w:val="00201063"/>
    <w:rsid w:val="002034D8"/>
    <w:rsid w:val="00231225"/>
    <w:rsid w:val="00247097"/>
    <w:rsid w:val="00251D16"/>
    <w:rsid w:val="002724C2"/>
    <w:rsid w:val="00272915"/>
    <w:rsid w:val="0027693F"/>
    <w:rsid w:val="00284989"/>
    <w:rsid w:val="002C086D"/>
    <w:rsid w:val="002C53DA"/>
    <w:rsid w:val="002C7DAB"/>
    <w:rsid w:val="002D07A7"/>
    <w:rsid w:val="002F5D4A"/>
    <w:rsid w:val="002F61AB"/>
    <w:rsid w:val="00304FA3"/>
    <w:rsid w:val="00312D54"/>
    <w:rsid w:val="0031634D"/>
    <w:rsid w:val="00317B50"/>
    <w:rsid w:val="00317ED5"/>
    <w:rsid w:val="003211E8"/>
    <w:rsid w:val="003268ED"/>
    <w:rsid w:val="003474D1"/>
    <w:rsid w:val="003638F2"/>
    <w:rsid w:val="00367FA2"/>
    <w:rsid w:val="00376E9D"/>
    <w:rsid w:val="003774A3"/>
    <w:rsid w:val="00394ECA"/>
    <w:rsid w:val="003A0240"/>
    <w:rsid w:val="003B00D0"/>
    <w:rsid w:val="003C1A03"/>
    <w:rsid w:val="003D1D26"/>
    <w:rsid w:val="003F3F90"/>
    <w:rsid w:val="003F419D"/>
    <w:rsid w:val="00400CED"/>
    <w:rsid w:val="00411B2C"/>
    <w:rsid w:val="00434219"/>
    <w:rsid w:val="00436C09"/>
    <w:rsid w:val="00445A9B"/>
    <w:rsid w:val="004538E6"/>
    <w:rsid w:val="004610B8"/>
    <w:rsid w:val="0049789E"/>
    <w:rsid w:val="004C50FE"/>
    <w:rsid w:val="004C5183"/>
    <w:rsid w:val="004E2DFF"/>
    <w:rsid w:val="004E6266"/>
    <w:rsid w:val="0051627A"/>
    <w:rsid w:val="00523375"/>
    <w:rsid w:val="00541C95"/>
    <w:rsid w:val="00582B12"/>
    <w:rsid w:val="00587000"/>
    <w:rsid w:val="00591BC7"/>
    <w:rsid w:val="005C4765"/>
    <w:rsid w:val="005D6EB1"/>
    <w:rsid w:val="005F6A3D"/>
    <w:rsid w:val="005F6F10"/>
    <w:rsid w:val="00615504"/>
    <w:rsid w:val="00633813"/>
    <w:rsid w:val="00637D0A"/>
    <w:rsid w:val="0064739B"/>
    <w:rsid w:val="00656422"/>
    <w:rsid w:val="00667E8A"/>
    <w:rsid w:val="0068117F"/>
    <w:rsid w:val="006A14B1"/>
    <w:rsid w:val="006A2844"/>
    <w:rsid w:val="006C58FB"/>
    <w:rsid w:val="006E48B9"/>
    <w:rsid w:val="00715848"/>
    <w:rsid w:val="00717FEE"/>
    <w:rsid w:val="00725133"/>
    <w:rsid w:val="00737018"/>
    <w:rsid w:val="00740388"/>
    <w:rsid w:val="00753E24"/>
    <w:rsid w:val="00763255"/>
    <w:rsid w:val="00776A5D"/>
    <w:rsid w:val="00776C46"/>
    <w:rsid w:val="007775E5"/>
    <w:rsid w:val="00780931"/>
    <w:rsid w:val="007863DD"/>
    <w:rsid w:val="00791065"/>
    <w:rsid w:val="007A2337"/>
    <w:rsid w:val="007A5EF3"/>
    <w:rsid w:val="007C1D32"/>
    <w:rsid w:val="007E6313"/>
    <w:rsid w:val="008031D6"/>
    <w:rsid w:val="00833C67"/>
    <w:rsid w:val="0083573E"/>
    <w:rsid w:val="00844EFF"/>
    <w:rsid w:val="00846ED2"/>
    <w:rsid w:val="00856CC0"/>
    <w:rsid w:val="00860C7F"/>
    <w:rsid w:val="0088076B"/>
    <w:rsid w:val="00897410"/>
    <w:rsid w:val="008B69CB"/>
    <w:rsid w:val="008C0A2D"/>
    <w:rsid w:val="008D4153"/>
    <w:rsid w:val="008E43E4"/>
    <w:rsid w:val="008F1A0A"/>
    <w:rsid w:val="008F4504"/>
    <w:rsid w:val="00912C5F"/>
    <w:rsid w:val="00953180"/>
    <w:rsid w:val="00955339"/>
    <w:rsid w:val="0096113C"/>
    <w:rsid w:val="009704CE"/>
    <w:rsid w:val="00983DF8"/>
    <w:rsid w:val="00987AD6"/>
    <w:rsid w:val="00992A31"/>
    <w:rsid w:val="009A2CA1"/>
    <w:rsid w:val="009A73F9"/>
    <w:rsid w:val="009B5A12"/>
    <w:rsid w:val="009B7F53"/>
    <w:rsid w:val="009C150A"/>
    <w:rsid w:val="009D0085"/>
    <w:rsid w:val="009D430D"/>
    <w:rsid w:val="009E428B"/>
    <w:rsid w:val="009E4C07"/>
    <w:rsid w:val="009E4FB0"/>
    <w:rsid w:val="009E780A"/>
    <w:rsid w:val="009F40AB"/>
    <w:rsid w:val="00A07E28"/>
    <w:rsid w:val="00A21E39"/>
    <w:rsid w:val="00A310B0"/>
    <w:rsid w:val="00A32B45"/>
    <w:rsid w:val="00A43B69"/>
    <w:rsid w:val="00A52BFA"/>
    <w:rsid w:val="00A66759"/>
    <w:rsid w:val="00A7179C"/>
    <w:rsid w:val="00A748D1"/>
    <w:rsid w:val="00A816E4"/>
    <w:rsid w:val="00A953FC"/>
    <w:rsid w:val="00AA0750"/>
    <w:rsid w:val="00AA5744"/>
    <w:rsid w:val="00AB72C8"/>
    <w:rsid w:val="00AB74EE"/>
    <w:rsid w:val="00AC4222"/>
    <w:rsid w:val="00AE7B64"/>
    <w:rsid w:val="00AF58F6"/>
    <w:rsid w:val="00AF6DBB"/>
    <w:rsid w:val="00AF78E0"/>
    <w:rsid w:val="00B07A81"/>
    <w:rsid w:val="00B12FD9"/>
    <w:rsid w:val="00B15EC1"/>
    <w:rsid w:val="00B2089D"/>
    <w:rsid w:val="00B31832"/>
    <w:rsid w:val="00B32C9B"/>
    <w:rsid w:val="00B57DE1"/>
    <w:rsid w:val="00B631AB"/>
    <w:rsid w:val="00B67769"/>
    <w:rsid w:val="00B80A72"/>
    <w:rsid w:val="00B915F3"/>
    <w:rsid w:val="00B94167"/>
    <w:rsid w:val="00B96722"/>
    <w:rsid w:val="00BD2C27"/>
    <w:rsid w:val="00C23E7A"/>
    <w:rsid w:val="00C42456"/>
    <w:rsid w:val="00C86E10"/>
    <w:rsid w:val="00C947BE"/>
    <w:rsid w:val="00C94938"/>
    <w:rsid w:val="00CA3CF1"/>
    <w:rsid w:val="00CC196E"/>
    <w:rsid w:val="00CC722C"/>
    <w:rsid w:val="00CC7CCF"/>
    <w:rsid w:val="00CE3F61"/>
    <w:rsid w:val="00CE4A57"/>
    <w:rsid w:val="00D179B5"/>
    <w:rsid w:val="00D64803"/>
    <w:rsid w:val="00D671EA"/>
    <w:rsid w:val="00D81259"/>
    <w:rsid w:val="00D828F5"/>
    <w:rsid w:val="00D9009C"/>
    <w:rsid w:val="00D94004"/>
    <w:rsid w:val="00DC6076"/>
    <w:rsid w:val="00DD6EDB"/>
    <w:rsid w:val="00DE0DF8"/>
    <w:rsid w:val="00DF0CAB"/>
    <w:rsid w:val="00DF26E0"/>
    <w:rsid w:val="00DF4D72"/>
    <w:rsid w:val="00E0355D"/>
    <w:rsid w:val="00E078E6"/>
    <w:rsid w:val="00E21C20"/>
    <w:rsid w:val="00E313DB"/>
    <w:rsid w:val="00E37391"/>
    <w:rsid w:val="00E60017"/>
    <w:rsid w:val="00E71CF6"/>
    <w:rsid w:val="00E80A9A"/>
    <w:rsid w:val="00E81425"/>
    <w:rsid w:val="00EA46BE"/>
    <w:rsid w:val="00EC5A3F"/>
    <w:rsid w:val="00EE2A1A"/>
    <w:rsid w:val="00F0568A"/>
    <w:rsid w:val="00F06E59"/>
    <w:rsid w:val="00F1553D"/>
    <w:rsid w:val="00F25B56"/>
    <w:rsid w:val="00F320E3"/>
    <w:rsid w:val="00F36BA2"/>
    <w:rsid w:val="00F63499"/>
    <w:rsid w:val="00F76F46"/>
    <w:rsid w:val="00F8772C"/>
    <w:rsid w:val="00F94792"/>
    <w:rsid w:val="00FB3576"/>
    <w:rsid w:val="00FC30AF"/>
    <w:rsid w:val="00FC6564"/>
    <w:rsid w:val="00FD0B06"/>
    <w:rsid w:val="00FE3343"/>
    <w:rsid w:val="00FF1019"/>
    <w:rsid w:val="00FF701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A8F14"/>
  <w15:docId w15:val="{8E2E78C6-0694-46FA-9D5C-1BCA2FDA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C8"/>
    <w:pPr>
      <w:spacing w:after="100" w:line="360" w:lineRule="auto"/>
      <w:jc w:val="both"/>
    </w:pPr>
    <w:rPr>
      <w:rFonts w:ascii="Arial" w:eastAsia="Arial MT" w:hAnsi="Arial" w:cs="Arial MT"/>
      <w:sz w:val="20"/>
      <w:lang w:val="es-ES"/>
    </w:rPr>
  </w:style>
  <w:style w:type="paragraph" w:styleId="Ttulo1">
    <w:name w:val="heading 1"/>
    <w:basedOn w:val="Normal"/>
    <w:uiPriority w:val="9"/>
    <w:qFormat/>
    <w:pPr>
      <w:ind w:left="143"/>
      <w:outlineLvl w:val="0"/>
    </w:pPr>
    <w:rPr>
      <w:rFonts w:eastAsia="Arial" w:cs="Arial"/>
      <w:b/>
      <w:bCs/>
      <w:szCs w:val="20"/>
    </w:rPr>
  </w:style>
  <w:style w:type="paragraph" w:styleId="Ttulo2">
    <w:name w:val="heading 2"/>
    <w:basedOn w:val="Normal"/>
    <w:link w:val="Ttulo2Car"/>
    <w:uiPriority w:val="9"/>
    <w:unhideWhenUsed/>
    <w:qFormat/>
    <w:pPr>
      <w:ind w:left="143"/>
      <w:outlineLvl w:val="1"/>
    </w:pPr>
    <w:rPr>
      <w:rFonts w:eastAsia="Arial" w:cs="Arial"/>
      <w:b/>
      <w:bCs/>
      <w:szCs w:val="20"/>
    </w:rPr>
  </w:style>
  <w:style w:type="paragraph" w:styleId="Ttulo3">
    <w:name w:val="heading 3"/>
    <w:basedOn w:val="Normal"/>
    <w:next w:val="Normal"/>
    <w:link w:val="Ttulo3Car"/>
    <w:uiPriority w:val="9"/>
    <w:semiHidden/>
    <w:unhideWhenUsed/>
    <w:qFormat/>
    <w:rsid w:val="00F06E5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06E5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B72C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pPr>
    <w:rPr>
      <w:szCs w:val="20"/>
    </w:rPr>
  </w:style>
  <w:style w:type="paragraph" w:styleId="Ttulo">
    <w:name w:val="Title"/>
    <w:basedOn w:val="Normal"/>
    <w:uiPriority w:val="10"/>
    <w:qFormat/>
    <w:pPr>
      <w:ind w:right="2"/>
      <w:jc w:val="center"/>
    </w:pPr>
    <w:rPr>
      <w:rFonts w:eastAsia="Arial" w:cs="Arial"/>
      <w:b/>
      <w:bCs/>
      <w:sz w:val="28"/>
      <w:szCs w:val="28"/>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01205"/>
    <w:pPr>
      <w:tabs>
        <w:tab w:val="center" w:pos="4252"/>
        <w:tab w:val="right" w:pos="8504"/>
      </w:tabs>
    </w:pPr>
  </w:style>
  <w:style w:type="character" w:customStyle="1" w:styleId="EncabezadoCar">
    <w:name w:val="Encabezado Car"/>
    <w:basedOn w:val="Fuentedeprrafopredeter"/>
    <w:link w:val="Encabezado"/>
    <w:uiPriority w:val="99"/>
    <w:rsid w:val="00001205"/>
    <w:rPr>
      <w:rFonts w:ascii="Arial MT" w:eastAsia="Arial MT" w:hAnsi="Arial MT" w:cs="Arial MT"/>
      <w:lang w:val="es-ES"/>
    </w:rPr>
  </w:style>
  <w:style w:type="paragraph" w:styleId="Piedepgina">
    <w:name w:val="footer"/>
    <w:basedOn w:val="Normal"/>
    <w:link w:val="PiedepginaCar"/>
    <w:uiPriority w:val="99"/>
    <w:unhideWhenUsed/>
    <w:rsid w:val="00001205"/>
    <w:pPr>
      <w:tabs>
        <w:tab w:val="center" w:pos="4252"/>
        <w:tab w:val="right" w:pos="8504"/>
      </w:tabs>
    </w:pPr>
  </w:style>
  <w:style w:type="character" w:customStyle="1" w:styleId="PiedepginaCar">
    <w:name w:val="Pie de página Car"/>
    <w:basedOn w:val="Fuentedeprrafopredeter"/>
    <w:link w:val="Piedepgina"/>
    <w:uiPriority w:val="99"/>
    <w:rsid w:val="00001205"/>
    <w:rPr>
      <w:rFonts w:ascii="Arial MT" w:eastAsia="Arial MT" w:hAnsi="Arial MT" w:cs="Arial MT"/>
      <w:lang w:val="es-ES"/>
    </w:rPr>
  </w:style>
  <w:style w:type="table" w:styleId="Tablaconcuadrcula">
    <w:name w:val="Table Grid"/>
    <w:basedOn w:val="Tablanormal"/>
    <w:uiPriority w:val="39"/>
    <w:rsid w:val="00F76F46"/>
    <w:pPr>
      <w:widowControl/>
      <w:autoSpaceDE/>
      <w:autoSpaceDN/>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76F46"/>
    <w:rPr>
      <w:rFonts w:ascii="Arial" w:eastAsia="Arial" w:hAnsi="Arial" w:cs="Arial"/>
      <w:b/>
      <w:bCs/>
      <w:sz w:val="20"/>
      <w:szCs w:val="20"/>
      <w:lang w:val="es-ES"/>
    </w:rPr>
  </w:style>
  <w:style w:type="character" w:styleId="Hipervnculo">
    <w:name w:val="Hyperlink"/>
    <w:basedOn w:val="Fuentedeprrafopredeter"/>
    <w:uiPriority w:val="99"/>
    <w:unhideWhenUsed/>
    <w:rsid w:val="00F76F46"/>
    <w:rPr>
      <w:color w:val="0000FF" w:themeColor="hyperlink"/>
      <w:u w:val="single"/>
    </w:rPr>
  </w:style>
  <w:style w:type="character" w:styleId="Mencinsinresolver">
    <w:name w:val="Unresolved Mention"/>
    <w:basedOn w:val="Fuentedeprrafopredeter"/>
    <w:uiPriority w:val="99"/>
    <w:semiHidden/>
    <w:unhideWhenUsed/>
    <w:rsid w:val="00F76F46"/>
    <w:rPr>
      <w:color w:val="605E5C"/>
      <w:shd w:val="clear" w:color="auto" w:fill="E1DFDD"/>
    </w:rPr>
  </w:style>
  <w:style w:type="character" w:customStyle="1" w:styleId="Ttulo3Car">
    <w:name w:val="Título 3 Car"/>
    <w:basedOn w:val="Fuentedeprrafopredeter"/>
    <w:link w:val="Ttulo3"/>
    <w:uiPriority w:val="9"/>
    <w:semiHidden/>
    <w:rsid w:val="00F06E59"/>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semiHidden/>
    <w:rsid w:val="00F06E59"/>
    <w:rPr>
      <w:rFonts w:asciiTheme="majorHAnsi" w:eastAsiaTheme="majorEastAsia" w:hAnsiTheme="majorHAnsi" w:cstheme="majorBidi"/>
      <w:i/>
      <w:iCs/>
      <w:color w:val="365F91" w:themeColor="accent1" w:themeShade="BF"/>
      <w:sz w:val="20"/>
      <w:lang w:val="es-ES"/>
    </w:rPr>
  </w:style>
  <w:style w:type="character" w:customStyle="1" w:styleId="Ttulo5Car">
    <w:name w:val="Título 5 Car"/>
    <w:basedOn w:val="Fuentedeprrafopredeter"/>
    <w:link w:val="Ttulo5"/>
    <w:uiPriority w:val="9"/>
    <w:semiHidden/>
    <w:rsid w:val="00AB72C8"/>
    <w:rPr>
      <w:rFonts w:asciiTheme="majorHAnsi" w:eastAsiaTheme="majorEastAsia" w:hAnsiTheme="majorHAnsi" w:cstheme="majorBidi"/>
      <w:color w:val="365F91" w:themeColor="accent1" w:themeShade="BF"/>
      <w:sz w:val="20"/>
      <w:lang w:val="es-ES"/>
    </w:rPr>
  </w:style>
  <w:style w:type="paragraph" w:styleId="Descripcin">
    <w:name w:val="caption"/>
    <w:aliases w:val="Gráficos"/>
    <w:basedOn w:val="Normal"/>
    <w:next w:val="Normal"/>
    <w:uiPriority w:val="35"/>
    <w:unhideWhenUsed/>
    <w:qFormat/>
    <w:rsid w:val="002C53DA"/>
    <w:rPr>
      <w:b/>
      <w:iCs/>
      <w:szCs w:val="18"/>
    </w:rPr>
  </w:style>
  <w:style w:type="character" w:styleId="Textoennegrita">
    <w:name w:val="Strong"/>
    <w:basedOn w:val="Fuentedeprrafopredeter"/>
    <w:uiPriority w:val="22"/>
    <w:qFormat/>
    <w:rsid w:val="002C53DA"/>
    <w:rPr>
      <w:b/>
      <w:bCs/>
    </w:rPr>
  </w:style>
  <w:style w:type="table" w:customStyle="1" w:styleId="Estilo1">
    <w:name w:val="Estilo1"/>
    <w:basedOn w:val="Tablanormal"/>
    <w:uiPriority w:val="99"/>
    <w:rsid w:val="002C53DA"/>
    <w:pPr>
      <w:widowControl/>
      <w:autoSpaceDE/>
      <w:autoSpaceDN/>
    </w:pPr>
    <w:tblPr>
      <w:tblBorders>
        <w:top w:val="single" w:sz="4" w:space="0" w:color="auto"/>
        <w:bottom w:val="single" w:sz="4" w:space="0" w:color="auto"/>
      </w:tblBorders>
    </w:tblPr>
    <w:tblStylePr w:type="firstRow">
      <w:pPr>
        <w:jc w:val="center"/>
      </w:pPr>
      <w:tblPr/>
      <w:tcPr>
        <w:tcBorders>
          <w:bottom w:val="single" w:sz="4" w:space="0" w:color="auto"/>
        </w:tcBorders>
        <w:vAlign w:val="center"/>
      </w:tcPr>
    </w:tblStylePr>
  </w:style>
  <w:style w:type="paragraph" w:styleId="NormalWeb">
    <w:name w:val="Normal (Web)"/>
    <w:basedOn w:val="Normal"/>
    <w:uiPriority w:val="99"/>
    <w:unhideWhenUsed/>
    <w:rsid w:val="002C53DA"/>
    <w:pPr>
      <w:widowControl/>
      <w:autoSpaceDE/>
      <w:autoSpaceDN/>
      <w:spacing w:before="100" w:beforeAutospacing="1" w:afterAutospacing="1" w:line="240" w:lineRule="auto"/>
      <w:jc w:val="left"/>
    </w:pPr>
    <w:rPr>
      <w:rFonts w:ascii="Times New Roman" w:eastAsia="Times New Roman" w:hAnsi="Times New Roman" w:cs="Times New Roman"/>
      <w:sz w:val="24"/>
      <w:szCs w:val="24"/>
      <w:lang w:val="es-EC" w:eastAsia="es-EC"/>
    </w:rPr>
  </w:style>
  <w:style w:type="paragraph" w:styleId="Sinespaciado">
    <w:name w:val="No Spacing"/>
    <w:uiPriority w:val="1"/>
    <w:qFormat/>
    <w:rsid w:val="00CE4A57"/>
    <w:pPr>
      <w:widowControl/>
      <w:autoSpaceDE/>
      <w:autoSpaceDN/>
    </w:pPr>
    <w:rPr>
      <w:lang w:val="es-EC"/>
    </w:rPr>
  </w:style>
  <w:style w:type="character" w:styleId="nfasis">
    <w:name w:val="Emphasis"/>
    <w:basedOn w:val="Fuentedeprrafopredeter"/>
    <w:uiPriority w:val="20"/>
    <w:qFormat/>
    <w:rsid w:val="005F6F10"/>
    <w:rPr>
      <w:i/>
      <w:iCs/>
    </w:rPr>
  </w:style>
  <w:style w:type="character" w:styleId="Hipervnculovisitado">
    <w:name w:val="FollowedHyperlink"/>
    <w:basedOn w:val="Fuentedeprrafopredeter"/>
    <w:uiPriority w:val="99"/>
    <w:semiHidden/>
    <w:unhideWhenUsed/>
    <w:rsid w:val="00A748D1"/>
    <w:rPr>
      <w:color w:val="800080" w:themeColor="followedHyperlink"/>
      <w:u w:val="single"/>
    </w:rPr>
  </w:style>
  <w:style w:type="table" w:styleId="Tablanormal2">
    <w:name w:val="Plain Table 2"/>
    <w:basedOn w:val="Tablanormal"/>
    <w:uiPriority w:val="42"/>
    <w:rsid w:val="00860C7F"/>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5668">
      <w:bodyDiv w:val="1"/>
      <w:marLeft w:val="0"/>
      <w:marRight w:val="0"/>
      <w:marTop w:val="0"/>
      <w:marBottom w:val="0"/>
      <w:divBdr>
        <w:top w:val="none" w:sz="0" w:space="0" w:color="auto"/>
        <w:left w:val="none" w:sz="0" w:space="0" w:color="auto"/>
        <w:bottom w:val="none" w:sz="0" w:space="0" w:color="auto"/>
        <w:right w:val="none" w:sz="0" w:space="0" w:color="auto"/>
      </w:divBdr>
    </w:div>
    <w:div w:id="28460127">
      <w:bodyDiv w:val="1"/>
      <w:marLeft w:val="0"/>
      <w:marRight w:val="0"/>
      <w:marTop w:val="0"/>
      <w:marBottom w:val="0"/>
      <w:divBdr>
        <w:top w:val="none" w:sz="0" w:space="0" w:color="auto"/>
        <w:left w:val="none" w:sz="0" w:space="0" w:color="auto"/>
        <w:bottom w:val="none" w:sz="0" w:space="0" w:color="auto"/>
        <w:right w:val="none" w:sz="0" w:space="0" w:color="auto"/>
      </w:divBdr>
    </w:div>
    <w:div w:id="44990148">
      <w:bodyDiv w:val="1"/>
      <w:marLeft w:val="0"/>
      <w:marRight w:val="0"/>
      <w:marTop w:val="0"/>
      <w:marBottom w:val="0"/>
      <w:divBdr>
        <w:top w:val="none" w:sz="0" w:space="0" w:color="auto"/>
        <w:left w:val="none" w:sz="0" w:space="0" w:color="auto"/>
        <w:bottom w:val="none" w:sz="0" w:space="0" w:color="auto"/>
        <w:right w:val="none" w:sz="0" w:space="0" w:color="auto"/>
      </w:divBdr>
    </w:div>
    <w:div w:id="133572159">
      <w:bodyDiv w:val="1"/>
      <w:marLeft w:val="0"/>
      <w:marRight w:val="0"/>
      <w:marTop w:val="0"/>
      <w:marBottom w:val="0"/>
      <w:divBdr>
        <w:top w:val="none" w:sz="0" w:space="0" w:color="auto"/>
        <w:left w:val="none" w:sz="0" w:space="0" w:color="auto"/>
        <w:bottom w:val="none" w:sz="0" w:space="0" w:color="auto"/>
        <w:right w:val="none" w:sz="0" w:space="0" w:color="auto"/>
      </w:divBdr>
    </w:div>
    <w:div w:id="165556902">
      <w:bodyDiv w:val="1"/>
      <w:marLeft w:val="0"/>
      <w:marRight w:val="0"/>
      <w:marTop w:val="0"/>
      <w:marBottom w:val="0"/>
      <w:divBdr>
        <w:top w:val="none" w:sz="0" w:space="0" w:color="auto"/>
        <w:left w:val="none" w:sz="0" w:space="0" w:color="auto"/>
        <w:bottom w:val="none" w:sz="0" w:space="0" w:color="auto"/>
        <w:right w:val="none" w:sz="0" w:space="0" w:color="auto"/>
      </w:divBdr>
    </w:div>
    <w:div w:id="328750691">
      <w:bodyDiv w:val="1"/>
      <w:marLeft w:val="0"/>
      <w:marRight w:val="0"/>
      <w:marTop w:val="0"/>
      <w:marBottom w:val="0"/>
      <w:divBdr>
        <w:top w:val="none" w:sz="0" w:space="0" w:color="auto"/>
        <w:left w:val="none" w:sz="0" w:space="0" w:color="auto"/>
        <w:bottom w:val="none" w:sz="0" w:space="0" w:color="auto"/>
        <w:right w:val="none" w:sz="0" w:space="0" w:color="auto"/>
      </w:divBdr>
    </w:div>
    <w:div w:id="348723895">
      <w:bodyDiv w:val="1"/>
      <w:marLeft w:val="0"/>
      <w:marRight w:val="0"/>
      <w:marTop w:val="0"/>
      <w:marBottom w:val="0"/>
      <w:divBdr>
        <w:top w:val="none" w:sz="0" w:space="0" w:color="auto"/>
        <w:left w:val="none" w:sz="0" w:space="0" w:color="auto"/>
        <w:bottom w:val="none" w:sz="0" w:space="0" w:color="auto"/>
        <w:right w:val="none" w:sz="0" w:space="0" w:color="auto"/>
      </w:divBdr>
    </w:div>
    <w:div w:id="405959555">
      <w:bodyDiv w:val="1"/>
      <w:marLeft w:val="0"/>
      <w:marRight w:val="0"/>
      <w:marTop w:val="0"/>
      <w:marBottom w:val="0"/>
      <w:divBdr>
        <w:top w:val="none" w:sz="0" w:space="0" w:color="auto"/>
        <w:left w:val="none" w:sz="0" w:space="0" w:color="auto"/>
        <w:bottom w:val="none" w:sz="0" w:space="0" w:color="auto"/>
        <w:right w:val="none" w:sz="0" w:space="0" w:color="auto"/>
      </w:divBdr>
    </w:div>
    <w:div w:id="413819199">
      <w:bodyDiv w:val="1"/>
      <w:marLeft w:val="0"/>
      <w:marRight w:val="0"/>
      <w:marTop w:val="0"/>
      <w:marBottom w:val="0"/>
      <w:divBdr>
        <w:top w:val="none" w:sz="0" w:space="0" w:color="auto"/>
        <w:left w:val="none" w:sz="0" w:space="0" w:color="auto"/>
        <w:bottom w:val="none" w:sz="0" w:space="0" w:color="auto"/>
        <w:right w:val="none" w:sz="0" w:space="0" w:color="auto"/>
      </w:divBdr>
    </w:div>
    <w:div w:id="562450671">
      <w:bodyDiv w:val="1"/>
      <w:marLeft w:val="0"/>
      <w:marRight w:val="0"/>
      <w:marTop w:val="0"/>
      <w:marBottom w:val="0"/>
      <w:divBdr>
        <w:top w:val="none" w:sz="0" w:space="0" w:color="auto"/>
        <w:left w:val="none" w:sz="0" w:space="0" w:color="auto"/>
        <w:bottom w:val="none" w:sz="0" w:space="0" w:color="auto"/>
        <w:right w:val="none" w:sz="0" w:space="0" w:color="auto"/>
      </w:divBdr>
    </w:div>
    <w:div w:id="586035554">
      <w:bodyDiv w:val="1"/>
      <w:marLeft w:val="0"/>
      <w:marRight w:val="0"/>
      <w:marTop w:val="0"/>
      <w:marBottom w:val="0"/>
      <w:divBdr>
        <w:top w:val="none" w:sz="0" w:space="0" w:color="auto"/>
        <w:left w:val="none" w:sz="0" w:space="0" w:color="auto"/>
        <w:bottom w:val="none" w:sz="0" w:space="0" w:color="auto"/>
        <w:right w:val="none" w:sz="0" w:space="0" w:color="auto"/>
      </w:divBdr>
    </w:div>
    <w:div w:id="586841592">
      <w:bodyDiv w:val="1"/>
      <w:marLeft w:val="0"/>
      <w:marRight w:val="0"/>
      <w:marTop w:val="0"/>
      <w:marBottom w:val="0"/>
      <w:divBdr>
        <w:top w:val="none" w:sz="0" w:space="0" w:color="auto"/>
        <w:left w:val="none" w:sz="0" w:space="0" w:color="auto"/>
        <w:bottom w:val="none" w:sz="0" w:space="0" w:color="auto"/>
        <w:right w:val="none" w:sz="0" w:space="0" w:color="auto"/>
      </w:divBdr>
    </w:div>
    <w:div w:id="644435614">
      <w:bodyDiv w:val="1"/>
      <w:marLeft w:val="0"/>
      <w:marRight w:val="0"/>
      <w:marTop w:val="0"/>
      <w:marBottom w:val="0"/>
      <w:divBdr>
        <w:top w:val="none" w:sz="0" w:space="0" w:color="auto"/>
        <w:left w:val="none" w:sz="0" w:space="0" w:color="auto"/>
        <w:bottom w:val="none" w:sz="0" w:space="0" w:color="auto"/>
        <w:right w:val="none" w:sz="0" w:space="0" w:color="auto"/>
      </w:divBdr>
    </w:div>
    <w:div w:id="686180594">
      <w:bodyDiv w:val="1"/>
      <w:marLeft w:val="0"/>
      <w:marRight w:val="0"/>
      <w:marTop w:val="0"/>
      <w:marBottom w:val="0"/>
      <w:divBdr>
        <w:top w:val="none" w:sz="0" w:space="0" w:color="auto"/>
        <w:left w:val="none" w:sz="0" w:space="0" w:color="auto"/>
        <w:bottom w:val="none" w:sz="0" w:space="0" w:color="auto"/>
        <w:right w:val="none" w:sz="0" w:space="0" w:color="auto"/>
      </w:divBdr>
    </w:div>
    <w:div w:id="690493253">
      <w:bodyDiv w:val="1"/>
      <w:marLeft w:val="0"/>
      <w:marRight w:val="0"/>
      <w:marTop w:val="0"/>
      <w:marBottom w:val="0"/>
      <w:divBdr>
        <w:top w:val="none" w:sz="0" w:space="0" w:color="auto"/>
        <w:left w:val="none" w:sz="0" w:space="0" w:color="auto"/>
        <w:bottom w:val="none" w:sz="0" w:space="0" w:color="auto"/>
        <w:right w:val="none" w:sz="0" w:space="0" w:color="auto"/>
      </w:divBdr>
    </w:div>
    <w:div w:id="725253672">
      <w:bodyDiv w:val="1"/>
      <w:marLeft w:val="0"/>
      <w:marRight w:val="0"/>
      <w:marTop w:val="0"/>
      <w:marBottom w:val="0"/>
      <w:divBdr>
        <w:top w:val="none" w:sz="0" w:space="0" w:color="auto"/>
        <w:left w:val="none" w:sz="0" w:space="0" w:color="auto"/>
        <w:bottom w:val="none" w:sz="0" w:space="0" w:color="auto"/>
        <w:right w:val="none" w:sz="0" w:space="0" w:color="auto"/>
      </w:divBdr>
    </w:div>
    <w:div w:id="854003699">
      <w:bodyDiv w:val="1"/>
      <w:marLeft w:val="0"/>
      <w:marRight w:val="0"/>
      <w:marTop w:val="0"/>
      <w:marBottom w:val="0"/>
      <w:divBdr>
        <w:top w:val="none" w:sz="0" w:space="0" w:color="auto"/>
        <w:left w:val="none" w:sz="0" w:space="0" w:color="auto"/>
        <w:bottom w:val="none" w:sz="0" w:space="0" w:color="auto"/>
        <w:right w:val="none" w:sz="0" w:space="0" w:color="auto"/>
      </w:divBdr>
    </w:div>
    <w:div w:id="939486252">
      <w:bodyDiv w:val="1"/>
      <w:marLeft w:val="0"/>
      <w:marRight w:val="0"/>
      <w:marTop w:val="0"/>
      <w:marBottom w:val="0"/>
      <w:divBdr>
        <w:top w:val="none" w:sz="0" w:space="0" w:color="auto"/>
        <w:left w:val="none" w:sz="0" w:space="0" w:color="auto"/>
        <w:bottom w:val="none" w:sz="0" w:space="0" w:color="auto"/>
        <w:right w:val="none" w:sz="0" w:space="0" w:color="auto"/>
      </w:divBdr>
    </w:div>
    <w:div w:id="967474002">
      <w:bodyDiv w:val="1"/>
      <w:marLeft w:val="0"/>
      <w:marRight w:val="0"/>
      <w:marTop w:val="0"/>
      <w:marBottom w:val="0"/>
      <w:divBdr>
        <w:top w:val="none" w:sz="0" w:space="0" w:color="auto"/>
        <w:left w:val="none" w:sz="0" w:space="0" w:color="auto"/>
        <w:bottom w:val="none" w:sz="0" w:space="0" w:color="auto"/>
        <w:right w:val="none" w:sz="0" w:space="0" w:color="auto"/>
      </w:divBdr>
      <w:divsChild>
        <w:div w:id="676079488">
          <w:marLeft w:val="0"/>
          <w:marRight w:val="0"/>
          <w:marTop w:val="0"/>
          <w:marBottom w:val="0"/>
          <w:divBdr>
            <w:top w:val="none" w:sz="0" w:space="0" w:color="auto"/>
            <w:left w:val="none" w:sz="0" w:space="0" w:color="auto"/>
            <w:bottom w:val="none" w:sz="0" w:space="0" w:color="auto"/>
            <w:right w:val="none" w:sz="0" w:space="0" w:color="auto"/>
          </w:divBdr>
          <w:divsChild>
            <w:div w:id="930701920">
              <w:marLeft w:val="0"/>
              <w:marRight w:val="0"/>
              <w:marTop w:val="0"/>
              <w:marBottom w:val="0"/>
              <w:divBdr>
                <w:top w:val="none" w:sz="0" w:space="0" w:color="auto"/>
                <w:left w:val="none" w:sz="0" w:space="0" w:color="auto"/>
                <w:bottom w:val="none" w:sz="0" w:space="0" w:color="auto"/>
                <w:right w:val="none" w:sz="0" w:space="0" w:color="auto"/>
              </w:divBdr>
              <w:divsChild>
                <w:div w:id="6418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3374">
      <w:bodyDiv w:val="1"/>
      <w:marLeft w:val="0"/>
      <w:marRight w:val="0"/>
      <w:marTop w:val="0"/>
      <w:marBottom w:val="0"/>
      <w:divBdr>
        <w:top w:val="none" w:sz="0" w:space="0" w:color="auto"/>
        <w:left w:val="none" w:sz="0" w:space="0" w:color="auto"/>
        <w:bottom w:val="none" w:sz="0" w:space="0" w:color="auto"/>
        <w:right w:val="none" w:sz="0" w:space="0" w:color="auto"/>
      </w:divBdr>
    </w:div>
    <w:div w:id="1095320885">
      <w:bodyDiv w:val="1"/>
      <w:marLeft w:val="0"/>
      <w:marRight w:val="0"/>
      <w:marTop w:val="0"/>
      <w:marBottom w:val="0"/>
      <w:divBdr>
        <w:top w:val="none" w:sz="0" w:space="0" w:color="auto"/>
        <w:left w:val="none" w:sz="0" w:space="0" w:color="auto"/>
        <w:bottom w:val="none" w:sz="0" w:space="0" w:color="auto"/>
        <w:right w:val="none" w:sz="0" w:space="0" w:color="auto"/>
      </w:divBdr>
    </w:div>
    <w:div w:id="1196383957">
      <w:bodyDiv w:val="1"/>
      <w:marLeft w:val="0"/>
      <w:marRight w:val="0"/>
      <w:marTop w:val="0"/>
      <w:marBottom w:val="0"/>
      <w:divBdr>
        <w:top w:val="none" w:sz="0" w:space="0" w:color="auto"/>
        <w:left w:val="none" w:sz="0" w:space="0" w:color="auto"/>
        <w:bottom w:val="none" w:sz="0" w:space="0" w:color="auto"/>
        <w:right w:val="none" w:sz="0" w:space="0" w:color="auto"/>
      </w:divBdr>
    </w:div>
    <w:div w:id="1451318005">
      <w:bodyDiv w:val="1"/>
      <w:marLeft w:val="0"/>
      <w:marRight w:val="0"/>
      <w:marTop w:val="0"/>
      <w:marBottom w:val="0"/>
      <w:divBdr>
        <w:top w:val="none" w:sz="0" w:space="0" w:color="auto"/>
        <w:left w:val="none" w:sz="0" w:space="0" w:color="auto"/>
        <w:bottom w:val="none" w:sz="0" w:space="0" w:color="auto"/>
        <w:right w:val="none" w:sz="0" w:space="0" w:color="auto"/>
      </w:divBdr>
    </w:div>
    <w:div w:id="1453939189">
      <w:bodyDiv w:val="1"/>
      <w:marLeft w:val="0"/>
      <w:marRight w:val="0"/>
      <w:marTop w:val="0"/>
      <w:marBottom w:val="0"/>
      <w:divBdr>
        <w:top w:val="none" w:sz="0" w:space="0" w:color="auto"/>
        <w:left w:val="none" w:sz="0" w:space="0" w:color="auto"/>
        <w:bottom w:val="none" w:sz="0" w:space="0" w:color="auto"/>
        <w:right w:val="none" w:sz="0" w:space="0" w:color="auto"/>
      </w:divBdr>
      <w:divsChild>
        <w:div w:id="1765802987">
          <w:marLeft w:val="0"/>
          <w:marRight w:val="0"/>
          <w:marTop w:val="0"/>
          <w:marBottom w:val="0"/>
          <w:divBdr>
            <w:top w:val="none" w:sz="0" w:space="0" w:color="auto"/>
            <w:left w:val="none" w:sz="0" w:space="0" w:color="auto"/>
            <w:bottom w:val="none" w:sz="0" w:space="0" w:color="auto"/>
            <w:right w:val="none" w:sz="0" w:space="0" w:color="auto"/>
          </w:divBdr>
          <w:divsChild>
            <w:div w:id="1476489607">
              <w:marLeft w:val="0"/>
              <w:marRight w:val="0"/>
              <w:marTop w:val="0"/>
              <w:marBottom w:val="0"/>
              <w:divBdr>
                <w:top w:val="none" w:sz="0" w:space="0" w:color="auto"/>
                <w:left w:val="none" w:sz="0" w:space="0" w:color="auto"/>
                <w:bottom w:val="none" w:sz="0" w:space="0" w:color="auto"/>
                <w:right w:val="none" w:sz="0" w:space="0" w:color="auto"/>
              </w:divBdr>
              <w:divsChild>
                <w:div w:id="72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1365">
      <w:bodyDiv w:val="1"/>
      <w:marLeft w:val="0"/>
      <w:marRight w:val="0"/>
      <w:marTop w:val="0"/>
      <w:marBottom w:val="0"/>
      <w:divBdr>
        <w:top w:val="none" w:sz="0" w:space="0" w:color="auto"/>
        <w:left w:val="none" w:sz="0" w:space="0" w:color="auto"/>
        <w:bottom w:val="none" w:sz="0" w:space="0" w:color="auto"/>
        <w:right w:val="none" w:sz="0" w:space="0" w:color="auto"/>
      </w:divBdr>
    </w:div>
    <w:div w:id="1495880151">
      <w:bodyDiv w:val="1"/>
      <w:marLeft w:val="0"/>
      <w:marRight w:val="0"/>
      <w:marTop w:val="0"/>
      <w:marBottom w:val="0"/>
      <w:divBdr>
        <w:top w:val="none" w:sz="0" w:space="0" w:color="auto"/>
        <w:left w:val="none" w:sz="0" w:space="0" w:color="auto"/>
        <w:bottom w:val="none" w:sz="0" w:space="0" w:color="auto"/>
        <w:right w:val="none" w:sz="0" w:space="0" w:color="auto"/>
      </w:divBdr>
    </w:div>
    <w:div w:id="1523469493">
      <w:bodyDiv w:val="1"/>
      <w:marLeft w:val="0"/>
      <w:marRight w:val="0"/>
      <w:marTop w:val="0"/>
      <w:marBottom w:val="0"/>
      <w:divBdr>
        <w:top w:val="none" w:sz="0" w:space="0" w:color="auto"/>
        <w:left w:val="none" w:sz="0" w:space="0" w:color="auto"/>
        <w:bottom w:val="none" w:sz="0" w:space="0" w:color="auto"/>
        <w:right w:val="none" w:sz="0" w:space="0" w:color="auto"/>
      </w:divBdr>
    </w:div>
    <w:div w:id="1713262737">
      <w:bodyDiv w:val="1"/>
      <w:marLeft w:val="0"/>
      <w:marRight w:val="0"/>
      <w:marTop w:val="0"/>
      <w:marBottom w:val="0"/>
      <w:divBdr>
        <w:top w:val="none" w:sz="0" w:space="0" w:color="auto"/>
        <w:left w:val="none" w:sz="0" w:space="0" w:color="auto"/>
        <w:bottom w:val="none" w:sz="0" w:space="0" w:color="auto"/>
        <w:right w:val="none" w:sz="0" w:space="0" w:color="auto"/>
      </w:divBdr>
    </w:div>
    <w:div w:id="1750346008">
      <w:bodyDiv w:val="1"/>
      <w:marLeft w:val="0"/>
      <w:marRight w:val="0"/>
      <w:marTop w:val="0"/>
      <w:marBottom w:val="0"/>
      <w:divBdr>
        <w:top w:val="none" w:sz="0" w:space="0" w:color="auto"/>
        <w:left w:val="none" w:sz="0" w:space="0" w:color="auto"/>
        <w:bottom w:val="none" w:sz="0" w:space="0" w:color="auto"/>
        <w:right w:val="none" w:sz="0" w:space="0" w:color="auto"/>
      </w:divBdr>
    </w:div>
    <w:div w:id="1783648637">
      <w:bodyDiv w:val="1"/>
      <w:marLeft w:val="0"/>
      <w:marRight w:val="0"/>
      <w:marTop w:val="0"/>
      <w:marBottom w:val="0"/>
      <w:divBdr>
        <w:top w:val="none" w:sz="0" w:space="0" w:color="auto"/>
        <w:left w:val="none" w:sz="0" w:space="0" w:color="auto"/>
        <w:bottom w:val="none" w:sz="0" w:space="0" w:color="auto"/>
        <w:right w:val="none" w:sz="0" w:space="0" w:color="auto"/>
      </w:divBdr>
    </w:div>
    <w:div w:id="1816139901">
      <w:bodyDiv w:val="1"/>
      <w:marLeft w:val="0"/>
      <w:marRight w:val="0"/>
      <w:marTop w:val="0"/>
      <w:marBottom w:val="0"/>
      <w:divBdr>
        <w:top w:val="none" w:sz="0" w:space="0" w:color="auto"/>
        <w:left w:val="none" w:sz="0" w:space="0" w:color="auto"/>
        <w:bottom w:val="none" w:sz="0" w:space="0" w:color="auto"/>
        <w:right w:val="none" w:sz="0" w:space="0" w:color="auto"/>
      </w:divBdr>
    </w:div>
    <w:div w:id="1863131461">
      <w:bodyDiv w:val="1"/>
      <w:marLeft w:val="0"/>
      <w:marRight w:val="0"/>
      <w:marTop w:val="0"/>
      <w:marBottom w:val="0"/>
      <w:divBdr>
        <w:top w:val="none" w:sz="0" w:space="0" w:color="auto"/>
        <w:left w:val="none" w:sz="0" w:space="0" w:color="auto"/>
        <w:bottom w:val="none" w:sz="0" w:space="0" w:color="auto"/>
        <w:right w:val="none" w:sz="0" w:space="0" w:color="auto"/>
      </w:divBdr>
    </w:div>
    <w:div w:id="1934170400">
      <w:bodyDiv w:val="1"/>
      <w:marLeft w:val="0"/>
      <w:marRight w:val="0"/>
      <w:marTop w:val="0"/>
      <w:marBottom w:val="0"/>
      <w:divBdr>
        <w:top w:val="none" w:sz="0" w:space="0" w:color="auto"/>
        <w:left w:val="none" w:sz="0" w:space="0" w:color="auto"/>
        <w:bottom w:val="none" w:sz="0" w:space="0" w:color="auto"/>
        <w:right w:val="none" w:sz="0" w:space="0" w:color="auto"/>
      </w:divBdr>
    </w:div>
    <w:div w:id="1989167211">
      <w:bodyDiv w:val="1"/>
      <w:marLeft w:val="0"/>
      <w:marRight w:val="0"/>
      <w:marTop w:val="0"/>
      <w:marBottom w:val="0"/>
      <w:divBdr>
        <w:top w:val="none" w:sz="0" w:space="0" w:color="auto"/>
        <w:left w:val="none" w:sz="0" w:space="0" w:color="auto"/>
        <w:bottom w:val="none" w:sz="0" w:space="0" w:color="auto"/>
        <w:right w:val="none" w:sz="0" w:space="0" w:color="auto"/>
      </w:divBdr>
    </w:div>
    <w:div w:id="2051418615">
      <w:bodyDiv w:val="1"/>
      <w:marLeft w:val="0"/>
      <w:marRight w:val="0"/>
      <w:marTop w:val="0"/>
      <w:marBottom w:val="0"/>
      <w:divBdr>
        <w:top w:val="none" w:sz="0" w:space="0" w:color="auto"/>
        <w:left w:val="none" w:sz="0" w:space="0" w:color="auto"/>
        <w:bottom w:val="none" w:sz="0" w:space="0" w:color="auto"/>
        <w:right w:val="none" w:sz="0" w:space="0" w:color="auto"/>
      </w:divBdr>
    </w:div>
    <w:div w:id="2134210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0577/qt6nen36" TargetMode="External"/><Relationship Id="rId13" Type="http://schemas.openxmlformats.org/officeDocument/2006/relationships/hyperlink" Target="https://orcid.org/0009-0007-9937-057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orcid.org/0009-0007-2899-8289"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i-emily3074@unesum.edu.ec" TargetMode="External"/><Relationship Id="rId5" Type="http://schemas.openxmlformats.org/officeDocument/2006/relationships/webSettings" Target="webSettings.xml"/><Relationship Id="rId15" Type="http://schemas.openxmlformats.org/officeDocument/2006/relationships/hyperlink" Target="https://doi.org/10.70577/qt6nen36" TargetMode="External"/><Relationship Id="rId10" Type="http://schemas.openxmlformats.org/officeDocument/2006/relationships/hyperlink" Target="https://orcid.org/0000-0003-0178-442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1-4695-1253" TargetMode="External"/><Relationship Id="rId14" Type="http://schemas.openxmlformats.org/officeDocument/2006/relationships/hyperlink" Target="https://orcid.org/0009-0007-3853-472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F4099F21A347AD85C4936DAE5C449C"/>
        <w:category>
          <w:name w:val="General"/>
          <w:gallery w:val="placeholder"/>
        </w:category>
        <w:types>
          <w:type w:val="bbPlcHdr"/>
        </w:types>
        <w:behaviors>
          <w:behavior w:val="content"/>
        </w:behaviors>
        <w:guid w:val="{72D12D81-27D2-4D9F-9722-5022B17B5F99}"/>
      </w:docPartPr>
      <w:docPartBody>
        <w:p w:rsidR="00A06B9F" w:rsidRDefault="00CE0BBC" w:rsidP="00CE0BBC">
          <w:pPr>
            <w:pStyle w:val="E6F4099F21A347AD85C4936DAE5C449C"/>
          </w:pPr>
          <w:r w:rsidRPr="004530E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EA"/>
    <w:rsid w:val="00002426"/>
    <w:rsid w:val="000C5CEB"/>
    <w:rsid w:val="00271F40"/>
    <w:rsid w:val="0027693F"/>
    <w:rsid w:val="0049789E"/>
    <w:rsid w:val="00587000"/>
    <w:rsid w:val="005E1CEA"/>
    <w:rsid w:val="00725133"/>
    <w:rsid w:val="007E6313"/>
    <w:rsid w:val="00952D83"/>
    <w:rsid w:val="00992A31"/>
    <w:rsid w:val="00A06B9F"/>
    <w:rsid w:val="00BA69B3"/>
    <w:rsid w:val="00C825A3"/>
    <w:rsid w:val="00CA4C46"/>
    <w:rsid w:val="00CE0BBC"/>
    <w:rsid w:val="00D17FA7"/>
    <w:rsid w:val="00E2443D"/>
    <w:rsid w:val="00FF250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06B9F"/>
    <w:rPr>
      <w:color w:val="808080"/>
    </w:rPr>
  </w:style>
  <w:style w:type="paragraph" w:customStyle="1" w:styleId="E6F4099F21A347AD85C4936DAE5C449C">
    <w:name w:val="E6F4099F21A347AD85C4936DAE5C449C"/>
    <w:rsid w:val="00CE0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47B7C8C5-1D2C-415F-B6EE-D0AF5A93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6230</Words>
  <Characters>34270</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Juli SG</cp:lastModifiedBy>
  <cp:revision>5</cp:revision>
  <cp:lastPrinted>2026-03-10T17:16:00Z</cp:lastPrinted>
  <dcterms:created xsi:type="dcterms:W3CDTF">2026-03-10T15:17:00Z</dcterms:created>
  <dcterms:modified xsi:type="dcterms:W3CDTF">2026-03-10T17:16:00Z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 para Microsoft 365</vt:lpwstr>
  </property>
  <property fmtid="{D5CDD505-2E9C-101B-9397-08002B2CF9AE}" pid="4" name="LastSaved">
    <vt:filetime>2026-02-03T00:00:00Z</vt:filetime>
  </property>
  <property fmtid="{D5CDD505-2E9C-101B-9397-08002B2CF9AE}" pid="5" name="Producer">
    <vt:lpwstr>Microsoft® Word para Microsoft 365</vt:lpwstr>
  </property>
</Properties>
</file>